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B79" w:rsidRDefault="003C5B79" w:rsidP="003C5B79"/>
    <w:tbl>
      <w:tblPr>
        <w:tblStyle w:val="a9"/>
        <w:bidiVisual/>
        <w:tblW w:w="8820" w:type="dxa"/>
        <w:jc w:val="center"/>
        <w:tblLook w:val="01E0" w:firstRow="1" w:lastRow="1" w:firstColumn="1" w:lastColumn="1" w:noHBand="0" w:noVBand="0"/>
      </w:tblPr>
      <w:tblGrid>
        <w:gridCol w:w="1332"/>
        <w:gridCol w:w="4195"/>
        <w:gridCol w:w="3293"/>
      </w:tblGrid>
      <w:tr w:rsidR="004B4EFA" w:rsidTr="003C5B79">
        <w:trPr>
          <w:trHeight w:val="295"/>
          <w:jc w:val="center"/>
        </w:trPr>
        <w:tc>
          <w:tcPr>
            <w:tcW w:w="598" w:type="dxa"/>
            <w:tcBorders>
              <w:top w:val="nil"/>
              <w:left w:val="nil"/>
              <w:bottom w:val="nil"/>
              <w:right w:val="nil"/>
            </w:tcBorders>
            <w:hideMark/>
          </w:tcPr>
          <w:p w:rsidR="003C5B79" w:rsidRDefault="00DE4D55">
            <w:pPr>
              <w:jc w:val="both"/>
              <w:rPr>
                <w:rFonts w:ascii="Arial" w:hAnsi="Arial"/>
                <w:b/>
                <w:bCs/>
                <w:sz w:val="26"/>
                <w:szCs w:val="26"/>
              </w:rPr>
            </w:pPr>
            <w:r>
              <w:rPr>
                <w:rFonts w:ascii="Arial" w:hAnsi="Arial"/>
                <w:b/>
                <w:bCs/>
                <w:sz w:val="26"/>
                <w:szCs w:val="26"/>
                <w:rtl/>
              </w:rPr>
              <w:t xml:space="preserve">לפני </w:t>
            </w:r>
          </w:p>
        </w:tc>
        <w:tc>
          <w:tcPr>
            <w:tcW w:w="8222" w:type="dxa"/>
            <w:gridSpan w:val="2"/>
            <w:tcBorders>
              <w:top w:val="nil"/>
              <w:left w:val="nil"/>
              <w:bottom w:val="nil"/>
              <w:right w:val="nil"/>
            </w:tcBorders>
          </w:tcPr>
          <w:p w:rsidR="003C5B79" w:rsidRDefault="003C5B79">
            <w:pPr>
              <w:jc w:val="both"/>
              <w:rPr>
                <w:rFonts w:ascii="Arial" w:hAnsi="Arial"/>
                <w:sz w:val="26"/>
                <w:szCs w:val="26"/>
                <w:rtl/>
              </w:rPr>
            </w:pPr>
          </w:p>
          <w:p w:rsidR="003C5B79" w:rsidRDefault="00DE4D55">
            <w:pPr>
              <w:spacing w:line="276" w:lineRule="auto"/>
              <w:rPr>
                <w:rFonts w:ascii="Arial" w:hAnsi="Arial"/>
                <w:b/>
                <w:bCs/>
                <w:sz w:val="26"/>
                <w:szCs w:val="26"/>
              </w:rPr>
            </w:pPr>
            <w:r>
              <w:rPr>
                <w:rFonts w:ascii="Arial" w:hAnsi="Arial"/>
                <w:b/>
                <w:bCs/>
                <w:sz w:val="26"/>
                <w:szCs w:val="26"/>
                <w:rtl/>
              </w:rPr>
              <w:t>כבוד ה</w:t>
            </w:r>
            <w:sdt>
              <w:sdtPr>
                <w:rPr>
                  <w:sz w:val="26"/>
                  <w:szCs w:val="26"/>
                  <w:rtl/>
                </w:rPr>
                <w:alias w:val="1574"/>
                <w:tag w:val="1574"/>
                <w:id w:val="-1615122647"/>
                <w:text w:multiLine="1"/>
              </w:sdtPr>
              <w:sdtEndPr/>
              <w:sdtContent>
                <w:r>
                  <w:rPr>
                    <w:rFonts w:ascii="Arial" w:hAnsi="Arial"/>
                    <w:b/>
                    <w:bCs/>
                    <w:sz w:val="26"/>
                    <w:szCs w:val="26"/>
                    <w:rtl/>
                  </w:rPr>
                  <w:t>שופטת הבכירה</w:t>
                </w:r>
              </w:sdtContent>
            </w:sdt>
            <w:r>
              <w:rPr>
                <w:rFonts w:ascii="Arial" w:hAnsi="Arial"/>
                <w:b/>
                <w:bCs/>
                <w:sz w:val="26"/>
                <w:szCs w:val="26"/>
                <w:rtl/>
              </w:rPr>
              <w:t xml:space="preserve">  </w:t>
            </w:r>
            <w:sdt>
              <w:sdtPr>
                <w:rPr>
                  <w:sz w:val="26"/>
                  <w:szCs w:val="26"/>
                  <w:rtl/>
                </w:rPr>
                <w:alias w:val="1573"/>
                <w:tag w:val="1573"/>
                <w:id w:val="-1715807626"/>
                <w:text w:multiLine="1"/>
              </w:sdtPr>
              <w:sdtEndPr/>
              <w:sdtContent>
                <w:r>
                  <w:rPr>
                    <w:rFonts w:ascii="Arial" w:hAnsi="Arial"/>
                    <w:b/>
                    <w:bCs/>
                    <w:sz w:val="26"/>
                    <w:szCs w:val="26"/>
                    <w:rtl/>
                  </w:rPr>
                  <w:t>גיליה רביד, אב"ד</w:t>
                </w:r>
              </w:sdtContent>
            </w:sdt>
          </w:p>
          <w:p w:rsidR="003C5B79" w:rsidRDefault="00DE4D55">
            <w:pPr>
              <w:spacing w:line="276" w:lineRule="auto"/>
              <w:rPr>
                <w:rFonts w:ascii="Arial" w:hAnsi="Arial"/>
                <w:b/>
                <w:bCs/>
                <w:sz w:val="26"/>
                <w:szCs w:val="26"/>
              </w:rPr>
            </w:pPr>
            <w:r>
              <w:rPr>
                <w:rFonts w:ascii="Arial" w:hAnsi="Arial"/>
                <w:b/>
                <w:bCs/>
                <w:sz w:val="26"/>
                <w:szCs w:val="26"/>
                <w:rtl/>
              </w:rPr>
              <w:t>כבוד ה</w:t>
            </w:r>
            <w:sdt>
              <w:sdtPr>
                <w:rPr>
                  <w:sz w:val="26"/>
                  <w:szCs w:val="26"/>
                  <w:rtl/>
                </w:rPr>
                <w:alias w:val="1574"/>
                <w:tag w:val="1574"/>
                <w:id w:val="1089122408"/>
                <w:text w:multiLine="1"/>
              </w:sdtPr>
              <w:sdtEndPr/>
              <w:sdtContent>
                <w:r>
                  <w:rPr>
                    <w:rFonts w:ascii="Arial" w:hAnsi="Arial"/>
                    <w:b/>
                    <w:bCs/>
                    <w:sz w:val="26"/>
                    <w:szCs w:val="26"/>
                    <w:rtl/>
                  </w:rPr>
                  <w:t>שופט</w:t>
                </w:r>
              </w:sdtContent>
            </w:sdt>
            <w:r>
              <w:rPr>
                <w:rFonts w:ascii="Arial" w:hAnsi="Arial"/>
                <w:b/>
                <w:bCs/>
                <w:sz w:val="26"/>
                <w:szCs w:val="26"/>
                <w:rtl/>
              </w:rPr>
              <w:t xml:space="preserve">  </w:t>
            </w:r>
            <w:sdt>
              <w:sdtPr>
                <w:rPr>
                  <w:b/>
                  <w:bCs/>
                  <w:sz w:val="26"/>
                  <w:szCs w:val="26"/>
                  <w:rtl/>
                </w:rPr>
                <w:alias w:val="1573"/>
                <w:tag w:val="1573"/>
                <w:id w:val="-68271059"/>
                <w:text w:multiLine="1"/>
              </w:sdtPr>
              <w:sdtEndPr/>
              <w:sdtContent>
                <w:r>
                  <w:rPr>
                    <w:b/>
                    <w:bCs/>
                    <w:sz w:val="26"/>
                    <w:szCs w:val="26"/>
                    <w:rtl/>
                  </w:rPr>
                  <w:t xml:space="preserve">עודד </w:t>
                </w:r>
                <w:r>
                  <w:rPr>
                    <w:rFonts w:ascii="Arial" w:hAnsi="Arial"/>
                    <w:b/>
                    <w:bCs/>
                    <w:sz w:val="26"/>
                    <w:szCs w:val="26"/>
                    <w:rtl/>
                  </w:rPr>
                  <w:t>מאור</w:t>
                </w:r>
              </w:sdtContent>
            </w:sdt>
          </w:p>
          <w:p w:rsidR="003C5B79" w:rsidRDefault="00DE4D55">
            <w:pPr>
              <w:spacing w:line="276" w:lineRule="auto"/>
              <w:rPr>
                <w:rFonts w:ascii="Arial" w:hAnsi="Arial"/>
                <w:b/>
                <w:bCs/>
                <w:sz w:val="26"/>
                <w:szCs w:val="26"/>
                <w:rtl/>
              </w:rPr>
            </w:pPr>
            <w:r>
              <w:rPr>
                <w:rFonts w:ascii="Arial" w:hAnsi="Arial"/>
                <w:b/>
                <w:bCs/>
                <w:sz w:val="26"/>
                <w:szCs w:val="26"/>
                <w:rtl/>
              </w:rPr>
              <w:t>כבוד ה</w:t>
            </w:r>
            <w:sdt>
              <w:sdtPr>
                <w:rPr>
                  <w:sz w:val="26"/>
                  <w:szCs w:val="26"/>
                  <w:rtl/>
                </w:rPr>
                <w:alias w:val="1574"/>
                <w:tag w:val="1574"/>
                <w:id w:val="1885602909"/>
                <w:text w:multiLine="1"/>
              </w:sdtPr>
              <w:sdtEndPr/>
              <w:sdtContent>
                <w:r>
                  <w:rPr>
                    <w:rFonts w:ascii="Arial" w:hAnsi="Arial"/>
                    <w:b/>
                    <w:bCs/>
                    <w:sz w:val="26"/>
                    <w:szCs w:val="26"/>
                    <w:rtl/>
                  </w:rPr>
                  <w:t>שופט</w:t>
                </w:r>
              </w:sdtContent>
            </w:sdt>
            <w:r>
              <w:rPr>
                <w:rFonts w:ascii="Arial" w:hAnsi="Arial"/>
                <w:b/>
                <w:bCs/>
                <w:sz w:val="26"/>
                <w:szCs w:val="26"/>
                <w:rtl/>
              </w:rPr>
              <w:t xml:space="preserve">  </w:t>
            </w:r>
            <w:sdt>
              <w:sdtPr>
                <w:rPr>
                  <w:sz w:val="26"/>
                  <w:szCs w:val="26"/>
                  <w:rtl/>
                </w:rPr>
                <w:alias w:val="1573"/>
                <w:tag w:val="1573"/>
                <w:id w:val="-1292358709"/>
                <w:text w:multiLine="1"/>
              </w:sdtPr>
              <w:sdtEndPr/>
              <w:sdtContent>
                <w:r>
                  <w:rPr>
                    <w:rFonts w:ascii="Arial" w:hAnsi="Arial"/>
                    <w:b/>
                    <w:bCs/>
                    <w:sz w:val="26"/>
                    <w:szCs w:val="26"/>
                    <w:rtl/>
                  </w:rPr>
                  <w:t>שמואל מלמד</w:t>
                </w:r>
              </w:sdtContent>
            </w:sdt>
          </w:p>
          <w:p w:rsidR="003C5B79" w:rsidRDefault="003C5B79">
            <w:pPr>
              <w:spacing w:line="360" w:lineRule="auto"/>
              <w:rPr>
                <w:sz w:val="26"/>
                <w:szCs w:val="26"/>
                <w:rtl/>
              </w:rPr>
            </w:pPr>
          </w:p>
        </w:tc>
      </w:tr>
      <w:tr w:rsidR="004B4EFA" w:rsidTr="003C5B79">
        <w:trPr>
          <w:trHeight w:val="355"/>
          <w:jc w:val="center"/>
        </w:trPr>
        <w:tc>
          <w:tcPr>
            <w:tcW w:w="598" w:type="dxa"/>
            <w:tcBorders>
              <w:top w:val="nil"/>
              <w:left w:val="nil"/>
              <w:bottom w:val="nil"/>
              <w:right w:val="nil"/>
            </w:tcBorders>
            <w:hideMark/>
          </w:tcPr>
          <w:p w:rsidR="003C5B79" w:rsidRPr="00394CB8" w:rsidRDefault="00DE4D55">
            <w:pPr>
              <w:jc w:val="both"/>
              <w:rPr>
                <w:rFonts w:ascii="Arial" w:hAnsi="Arial"/>
                <w:b/>
                <w:bCs/>
                <w:sz w:val="26"/>
                <w:szCs w:val="26"/>
                <w:rtl/>
              </w:rPr>
            </w:pPr>
            <w:r w:rsidRPr="00394CB8">
              <w:rPr>
                <w:rFonts w:ascii="Arial" w:hAnsi="Arial"/>
                <w:b/>
                <w:bCs/>
                <w:sz w:val="26"/>
                <w:szCs w:val="26"/>
                <w:rtl/>
              </w:rPr>
              <w:t>ה</w:t>
            </w:r>
            <w:sdt>
              <w:sdtPr>
                <w:rPr>
                  <w:b/>
                  <w:bCs/>
                  <w:sz w:val="26"/>
                  <w:szCs w:val="26"/>
                  <w:rtl/>
                </w:rPr>
                <w:alias w:val="1180"/>
                <w:tag w:val="1180"/>
                <w:id w:val="-217131131"/>
                <w:text w:multiLine="1"/>
              </w:sdtPr>
              <w:sdtEndPr/>
              <w:sdtContent>
                <w:r w:rsidRPr="00394CB8">
                  <w:rPr>
                    <w:rFonts w:ascii="Arial" w:hAnsi="Arial"/>
                    <w:b/>
                    <w:bCs/>
                    <w:sz w:val="26"/>
                    <w:szCs w:val="26"/>
                    <w:rtl/>
                  </w:rPr>
                  <w:t>מאשימה:</w:t>
                </w:r>
              </w:sdtContent>
            </w:sdt>
          </w:p>
        </w:tc>
        <w:tc>
          <w:tcPr>
            <w:tcW w:w="4565" w:type="dxa"/>
            <w:tcBorders>
              <w:top w:val="nil"/>
              <w:left w:val="nil"/>
              <w:bottom w:val="nil"/>
              <w:right w:val="nil"/>
            </w:tcBorders>
            <w:hideMark/>
          </w:tcPr>
          <w:p w:rsidR="003C5B79" w:rsidRDefault="00DE4D55">
            <w:pPr>
              <w:rPr>
                <w:sz w:val="26"/>
                <w:szCs w:val="26"/>
                <w:rtl/>
              </w:rPr>
            </w:pPr>
            <w:sdt>
              <w:sdtPr>
                <w:rPr>
                  <w:sz w:val="26"/>
                  <w:szCs w:val="26"/>
                  <w:rtl/>
                </w:rPr>
                <w:alias w:val="1478"/>
                <w:tag w:val="1478"/>
                <w:id w:val="-1270384266"/>
                <w:text w:multiLine="1"/>
              </w:sdtPr>
              <w:sdtEndPr/>
              <w:sdtContent>
                <w:r>
                  <w:rPr>
                    <w:rFonts w:ascii="Arial" w:hAnsi="Arial"/>
                    <w:sz w:val="26"/>
                    <w:szCs w:val="26"/>
                    <w:rtl/>
                  </w:rPr>
                  <w:t>מדינת ישראל</w:t>
                </w:r>
              </w:sdtContent>
            </w:sdt>
          </w:p>
          <w:p w:rsidR="003C5B79" w:rsidRDefault="00DE4D55">
            <w:pPr>
              <w:rPr>
                <w:sz w:val="26"/>
                <w:szCs w:val="26"/>
              </w:rPr>
            </w:pPr>
            <w:r>
              <w:rPr>
                <w:sz w:val="26"/>
                <w:szCs w:val="26"/>
                <w:rtl/>
              </w:rPr>
              <w:t xml:space="preserve">ע"י ב"כ עו"ד </w:t>
            </w:r>
            <w:r w:rsidRPr="003C5B79">
              <w:rPr>
                <w:b/>
                <w:bCs/>
                <w:sz w:val="26"/>
                <w:szCs w:val="26"/>
                <w:rtl/>
              </w:rPr>
              <w:t>פנינה לוי</w:t>
            </w:r>
          </w:p>
        </w:tc>
        <w:tc>
          <w:tcPr>
            <w:tcW w:w="3657" w:type="dxa"/>
            <w:tcBorders>
              <w:top w:val="nil"/>
              <w:left w:val="nil"/>
              <w:bottom w:val="nil"/>
              <w:right w:val="nil"/>
            </w:tcBorders>
          </w:tcPr>
          <w:p w:rsidR="003C5B79" w:rsidRDefault="003C5B79">
            <w:pPr>
              <w:jc w:val="both"/>
              <w:rPr>
                <w:rFonts w:ascii="Arial" w:hAnsi="Arial"/>
                <w:sz w:val="26"/>
                <w:szCs w:val="26"/>
                <w:rtl/>
              </w:rPr>
            </w:pPr>
          </w:p>
        </w:tc>
      </w:tr>
      <w:tr w:rsidR="004B4EFA" w:rsidTr="003C5B79">
        <w:trPr>
          <w:trHeight w:val="355"/>
          <w:jc w:val="center"/>
        </w:trPr>
        <w:tc>
          <w:tcPr>
            <w:tcW w:w="598" w:type="dxa"/>
            <w:tcBorders>
              <w:top w:val="nil"/>
              <w:left w:val="nil"/>
              <w:bottom w:val="nil"/>
              <w:right w:val="nil"/>
            </w:tcBorders>
          </w:tcPr>
          <w:p w:rsidR="003C5B79" w:rsidRDefault="003C5B79">
            <w:pPr>
              <w:jc w:val="both"/>
              <w:rPr>
                <w:rFonts w:ascii="Arial" w:hAnsi="Arial"/>
                <w:sz w:val="26"/>
                <w:szCs w:val="26"/>
              </w:rPr>
            </w:pPr>
          </w:p>
        </w:tc>
        <w:tc>
          <w:tcPr>
            <w:tcW w:w="4565" w:type="dxa"/>
            <w:tcBorders>
              <w:top w:val="nil"/>
              <w:left w:val="nil"/>
              <w:bottom w:val="nil"/>
              <w:right w:val="nil"/>
            </w:tcBorders>
          </w:tcPr>
          <w:p w:rsidR="003C5B79" w:rsidRDefault="003C5B79">
            <w:pPr>
              <w:rPr>
                <w:rFonts w:ascii="Arial" w:hAnsi="Arial"/>
                <w:sz w:val="26"/>
                <w:szCs w:val="26"/>
              </w:rPr>
            </w:pPr>
          </w:p>
        </w:tc>
        <w:tc>
          <w:tcPr>
            <w:tcW w:w="3657" w:type="dxa"/>
            <w:tcBorders>
              <w:top w:val="nil"/>
              <w:left w:val="nil"/>
              <w:bottom w:val="nil"/>
              <w:right w:val="nil"/>
            </w:tcBorders>
          </w:tcPr>
          <w:p w:rsidR="003C5B79" w:rsidRDefault="003C5B79">
            <w:pPr>
              <w:jc w:val="right"/>
              <w:rPr>
                <w:rFonts w:ascii="Arial" w:hAnsi="Arial"/>
                <w:sz w:val="26"/>
                <w:szCs w:val="26"/>
                <w:rtl/>
              </w:rPr>
            </w:pPr>
          </w:p>
        </w:tc>
      </w:tr>
      <w:tr w:rsidR="004B4EFA" w:rsidTr="003C5B79">
        <w:trPr>
          <w:trHeight w:val="355"/>
          <w:jc w:val="center"/>
        </w:trPr>
        <w:tc>
          <w:tcPr>
            <w:tcW w:w="598" w:type="dxa"/>
            <w:tcBorders>
              <w:top w:val="nil"/>
              <w:left w:val="nil"/>
              <w:bottom w:val="nil"/>
              <w:right w:val="nil"/>
            </w:tcBorders>
          </w:tcPr>
          <w:p w:rsidR="003C5B79" w:rsidRDefault="003C5B79">
            <w:pPr>
              <w:jc w:val="both"/>
              <w:rPr>
                <w:rFonts w:ascii="Arial" w:hAnsi="Arial"/>
                <w:sz w:val="26"/>
                <w:szCs w:val="26"/>
                <w:rtl/>
              </w:rPr>
            </w:pPr>
          </w:p>
        </w:tc>
        <w:tc>
          <w:tcPr>
            <w:tcW w:w="8222" w:type="dxa"/>
            <w:gridSpan w:val="2"/>
            <w:tcBorders>
              <w:top w:val="nil"/>
              <w:left w:val="nil"/>
              <w:bottom w:val="nil"/>
              <w:right w:val="nil"/>
            </w:tcBorders>
          </w:tcPr>
          <w:p w:rsidR="003C5B79" w:rsidRDefault="003C5B79">
            <w:pPr>
              <w:jc w:val="center"/>
              <w:rPr>
                <w:rFonts w:ascii="Arial" w:hAnsi="Arial"/>
                <w:b/>
                <w:bCs/>
                <w:sz w:val="26"/>
                <w:szCs w:val="26"/>
                <w:rtl/>
              </w:rPr>
            </w:pPr>
          </w:p>
          <w:p w:rsidR="003C5B79" w:rsidRDefault="00DE4D55">
            <w:pPr>
              <w:jc w:val="center"/>
              <w:rPr>
                <w:rFonts w:ascii="Arial" w:hAnsi="Arial"/>
                <w:b/>
                <w:bCs/>
                <w:sz w:val="26"/>
                <w:szCs w:val="26"/>
                <w:rtl/>
              </w:rPr>
            </w:pPr>
            <w:r>
              <w:rPr>
                <w:rFonts w:ascii="Arial" w:hAnsi="Arial"/>
                <w:b/>
                <w:bCs/>
                <w:sz w:val="26"/>
                <w:szCs w:val="26"/>
                <w:rtl/>
              </w:rPr>
              <w:t>נגד</w:t>
            </w:r>
          </w:p>
          <w:p w:rsidR="003C5B79" w:rsidRDefault="003C5B79">
            <w:pPr>
              <w:jc w:val="both"/>
              <w:rPr>
                <w:rFonts w:ascii="Arial" w:hAnsi="Arial"/>
                <w:sz w:val="26"/>
                <w:szCs w:val="26"/>
                <w:rtl/>
              </w:rPr>
            </w:pPr>
          </w:p>
        </w:tc>
      </w:tr>
      <w:tr w:rsidR="004B4EFA" w:rsidTr="003C5B79">
        <w:trPr>
          <w:trHeight w:val="355"/>
          <w:jc w:val="center"/>
        </w:trPr>
        <w:tc>
          <w:tcPr>
            <w:tcW w:w="598" w:type="dxa"/>
            <w:tcBorders>
              <w:top w:val="nil"/>
              <w:left w:val="nil"/>
              <w:bottom w:val="nil"/>
              <w:right w:val="nil"/>
            </w:tcBorders>
            <w:hideMark/>
          </w:tcPr>
          <w:p w:rsidR="003C5B79" w:rsidRPr="00394CB8" w:rsidRDefault="00DE4D55">
            <w:pPr>
              <w:rPr>
                <w:rFonts w:ascii="Arial" w:hAnsi="Arial"/>
                <w:b/>
                <w:bCs/>
                <w:sz w:val="26"/>
                <w:szCs w:val="26"/>
                <w:rtl/>
              </w:rPr>
            </w:pPr>
            <w:r w:rsidRPr="00394CB8">
              <w:rPr>
                <w:rFonts w:ascii="Arial" w:hAnsi="Arial"/>
                <w:b/>
                <w:bCs/>
                <w:sz w:val="26"/>
                <w:szCs w:val="26"/>
                <w:rtl/>
              </w:rPr>
              <w:t>ה</w:t>
            </w:r>
            <w:sdt>
              <w:sdtPr>
                <w:rPr>
                  <w:b/>
                  <w:bCs/>
                  <w:sz w:val="26"/>
                  <w:szCs w:val="26"/>
                  <w:rtl/>
                </w:rPr>
                <w:alias w:val="1184"/>
                <w:tag w:val="1184"/>
                <w:id w:val="-1508059094"/>
                <w:text w:multiLine="1"/>
              </w:sdtPr>
              <w:sdtEndPr/>
              <w:sdtContent>
                <w:r w:rsidRPr="00394CB8">
                  <w:rPr>
                    <w:rFonts w:ascii="Arial" w:hAnsi="Arial"/>
                    <w:b/>
                    <w:bCs/>
                    <w:sz w:val="26"/>
                    <w:szCs w:val="26"/>
                    <w:rtl/>
                  </w:rPr>
                  <w:t>נאשם</w:t>
                </w:r>
                <w:r w:rsidR="00394CB8" w:rsidRPr="00394CB8">
                  <w:rPr>
                    <w:rFonts w:ascii="Arial" w:hAnsi="Arial" w:hint="cs"/>
                    <w:b/>
                    <w:bCs/>
                    <w:sz w:val="26"/>
                    <w:szCs w:val="26"/>
                    <w:rtl/>
                  </w:rPr>
                  <w:t>:</w:t>
                </w:r>
              </w:sdtContent>
            </w:sdt>
          </w:p>
        </w:tc>
        <w:tc>
          <w:tcPr>
            <w:tcW w:w="4565" w:type="dxa"/>
            <w:tcBorders>
              <w:top w:val="nil"/>
              <w:left w:val="nil"/>
              <w:bottom w:val="nil"/>
              <w:right w:val="nil"/>
            </w:tcBorders>
            <w:hideMark/>
          </w:tcPr>
          <w:p w:rsidR="003C5B79" w:rsidRDefault="00DE4D55" w:rsidP="008029BF">
            <w:pPr>
              <w:rPr>
                <w:sz w:val="26"/>
                <w:szCs w:val="26"/>
              </w:rPr>
            </w:pPr>
            <w:sdt>
              <w:sdtPr>
                <w:rPr>
                  <w:sz w:val="26"/>
                  <w:szCs w:val="26"/>
                  <w:rtl/>
                </w:rPr>
                <w:alias w:val="1486"/>
                <w:tag w:val="1486"/>
                <w:id w:val="-1964416617"/>
                <w:text w:multiLine="1"/>
              </w:sdtPr>
              <w:sdtEndPr/>
              <w:sdtContent>
                <w:r w:rsidR="008029BF">
                  <w:rPr>
                    <w:rFonts w:ascii="Arial" w:hAnsi="Arial" w:hint="cs"/>
                    <w:sz w:val="26"/>
                    <w:szCs w:val="26"/>
                    <w:rtl/>
                  </w:rPr>
                  <w:t>פלוני</w:t>
                </w:r>
                <w:r>
                  <w:rPr>
                    <w:rFonts w:ascii="Arial" w:hAnsi="Arial"/>
                    <w:sz w:val="26"/>
                    <w:szCs w:val="26"/>
                    <w:rtl/>
                  </w:rPr>
                  <w:t xml:space="preserve"> (קטין)</w:t>
                </w:r>
              </w:sdtContent>
            </w:sdt>
          </w:p>
          <w:p w:rsidR="003C5B79" w:rsidRDefault="00DE4D55">
            <w:pPr>
              <w:rPr>
                <w:sz w:val="26"/>
                <w:szCs w:val="26"/>
                <w:rtl/>
              </w:rPr>
            </w:pPr>
            <w:r>
              <w:rPr>
                <w:sz w:val="26"/>
                <w:szCs w:val="26"/>
                <w:rtl/>
              </w:rPr>
              <w:t xml:space="preserve">ע"י ב"כ עו"ד </w:t>
            </w:r>
            <w:r w:rsidR="00394CB8">
              <w:rPr>
                <w:b/>
                <w:bCs/>
                <w:sz w:val="26"/>
                <w:szCs w:val="26"/>
                <w:rtl/>
              </w:rPr>
              <w:t>ליאור אפ</w:t>
            </w:r>
            <w:r w:rsidRPr="003C5B79">
              <w:rPr>
                <w:b/>
                <w:bCs/>
                <w:sz w:val="26"/>
                <w:szCs w:val="26"/>
                <w:rtl/>
              </w:rPr>
              <w:t>שטיין</w:t>
            </w:r>
          </w:p>
        </w:tc>
        <w:tc>
          <w:tcPr>
            <w:tcW w:w="3657" w:type="dxa"/>
            <w:tcBorders>
              <w:top w:val="nil"/>
              <w:left w:val="nil"/>
              <w:bottom w:val="nil"/>
              <w:right w:val="nil"/>
            </w:tcBorders>
          </w:tcPr>
          <w:p w:rsidR="003C5B79" w:rsidRDefault="003C5B79">
            <w:pPr>
              <w:jc w:val="right"/>
              <w:rPr>
                <w:rFonts w:ascii="Arial" w:hAnsi="Arial"/>
                <w:sz w:val="26"/>
                <w:szCs w:val="26"/>
                <w:rtl/>
              </w:rPr>
            </w:pPr>
          </w:p>
        </w:tc>
      </w:tr>
      <w:tr w:rsidR="004B4EFA" w:rsidTr="003C5B79">
        <w:trPr>
          <w:trHeight w:val="355"/>
          <w:jc w:val="center"/>
        </w:trPr>
        <w:tc>
          <w:tcPr>
            <w:tcW w:w="598" w:type="dxa"/>
            <w:tcBorders>
              <w:top w:val="nil"/>
              <w:left w:val="nil"/>
              <w:bottom w:val="nil"/>
              <w:right w:val="nil"/>
            </w:tcBorders>
          </w:tcPr>
          <w:p w:rsidR="003C5B79" w:rsidRDefault="003C5B79">
            <w:pPr>
              <w:jc w:val="both"/>
              <w:rPr>
                <w:rFonts w:ascii="Arial" w:hAnsi="Arial"/>
                <w:sz w:val="26"/>
                <w:szCs w:val="26"/>
                <w:rtl/>
              </w:rPr>
            </w:pPr>
          </w:p>
        </w:tc>
        <w:tc>
          <w:tcPr>
            <w:tcW w:w="4565" w:type="dxa"/>
            <w:tcBorders>
              <w:top w:val="nil"/>
              <w:left w:val="nil"/>
              <w:bottom w:val="nil"/>
              <w:right w:val="nil"/>
            </w:tcBorders>
          </w:tcPr>
          <w:p w:rsidR="003C5B79" w:rsidRDefault="003C5B79">
            <w:pPr>
              <w:rPr>
                <w:rFonts w:ascii="Arial" w:hAnsi="Arial"/>
                <w:sz w:val="26"/>
                <w:szCs w:val="26"/>
              </w:rPr>
            </w:pPr>
          </w:p>
        </w:tc>
        <w:tc>
          <w:tcPr>
            <w:tcW w:w="3657" w:type="dxa"/>
            <w:tcBorders>
              <w:top w:val="nil"/>
              <w:left w:val="nil"/>
              <w:bottom w:val="nil"/>
              <w:right w:val="nil"/>
            </w:tcBorders>
          </w:tcPr>
          <w:p w:rsidR="003C5B79" w:rsidRDefault="003C5B79">
            <w:pPr>
              <w:jc w:val="right"/>
              <w:rPr>
                <w:rFonts w:ascii="Arial" w:hAnsi="Arial"/>
                <w:sz w:val="26"/>
                <w:szCs w:val="26"/>
                <w:rtl/>
              </w:rPr>
            </w:pPr>
          </w:p>
        </w:tc>
      </w:tr>
    </w:tbl>
    <w:p w:rsidR="003C5B79" w:rsidRDefault="003C5B79" w:rsidP="003C5B79"/>
    <w:tbl>
      <w:tblPr>
        <w:tblStyle w:val="a9"/>
        <w:bidiVisual/>
        <w:tblW w:w="8820" w:type="dxa"/>
        <w:jc w:val="center"/>
        <w:tblLook w:val="01E0" w:firstRow="1" w:lastRow="1" w:firstColumn="1" w:lastColumn="1" w:noHBand="0" w:noVBand="0"/>
      </w:tblPr>
      <w:tblGrid>
        <w:gridCol w:w="8820"/>
      </w:tblGrid>
      <w:tr w:rsidR="004B4EFA" w:rsidTr="003C5B79">
        <w:trPr>
          <w:trHeight w:val="355"/>
          <w:jc w:val="center"/>
        </w:trPr>
        <w:tc>
          <w:tcPr>
            <w:tcW w:w="8820" w:type="dxa"/>
            <w:tcBorders>
              <w:top w:val="nil"/>
              <w:left w:val="nil"/>
              <w:bottom w:val="nil"/>
              <w:right w:val="nil"/>
            </w:tcBorders>
            <w:hideMark/>
          </w:tcPr>
          <w:p w:rsidR="003C5B79" w:rsidRDefault="00DE4D55">
            <w:pPr>
              <w:jc w:val="center"/>
              <w:rPr>
                <w:rFonts w:ascii="Arial" w:hAnsi="Arial"/>
                <w:sz w:val="28"/>
                <w:szCs w:val="28"/>
                <w:u w:val="single"/>
              </w:rPr>
            </w:pPr>
            <w:r>
              <w:rPr>
                <w:rFonts w:ascii="Arial" w:hAnsi="Arial"/>
                <w:b/>
                <w:bCs/>
                <w:sz w:val="28"/>
                <w:szCs w:val="28"/>
                <w:u w:val="single"/>
                <w:rtl/>
              </w:rPr>
              <w:t>גזר דין</w:t>
            </w:r>
          </w:p>
          <w:p w:rsidR="003C5B79" w:rsidRDefault="00DE4D55">
            <w:pPr>
              <w:jc w:val="center"/>
              <w:rPr>
                <w:rFonts w:ascii="Arial" w:hAnsi="Arial"/>
                <w:sz w:val="28"/>
                <w:szCs w:val="28"/>
                <w:u w:val="single"/>
                <w:rtl/>
              </w:rPr>
            </w:pPr>
            <w:r>
              <w:rPr>
                <w:rFonts w:ascii="Arial" w:hAnsi="Arial"/>
                <w:sz w:val="28"/>
                <w:szCs w:val="28"/>
                <w:u w:val="single"/>
                <w:rtl/>
              </w:rPr>
              <w:t>(עותק מותר בפרסום)</w:t>
            </w:r>
          </w:p>
        </w:tc>
      </w:tr>
    </w:tbl>
    <w:p w:rsidR="003C5B79" w:rsidRDefault="00DE4D55" w:rsidP="003C5B79">
      <w:pPr>
        <w:rPr>
          <w:rFonts w:ascii="David" w:hAnsi="David"/>
        </w:rPr>
      </w:pPr>
      <w:r>
        <w:rPr>
          <w:rFonts w:ascii="David" w:hAnsi="David"/>
          <w:rtl/>
        </w:rPr>
        <w:tab/>
      </w:r>
      <w:r>
        <w:rPr>
          <w:rFonts w:ascii="David" w:hAnsi="David"/>
          <w:rtl/>
        </w:rPr>
        <w:tab/>
      </w:r>
      <w:r>
        <w:rPr>
          <w:rFonts w:ascii="David" w:hAnsi="David"/>
          <w:rtl/>
        </w:rPr>
        <w:tab/>
      </w:r>
    </w:p>
    <w:p w:rsidR="003C5B79" w:rsidRDefault="00DE4D55" w:rsidP="003C5B79">
      <w:pPr>
        <w:rPr>
          <w:rFonts w:ascii="David" w:hAnsi="David"/>
          <w:rtl/>
        </w:rPr>
      </w:pPr>
      <w:r>
        <w:rPr>
          <w:rFonts w:ascii="David" w:hAnsi="David"/>
          <w:rtl/>
        </w:rPr>
        <w:tab/>
      </w:r>
      <w:r>
        <w:rPr>
          <w:rFonts w:ascii="David" w:hAnsi="David"/>
          <w:rtl/>
        </w:rPr>
        <w:tab/>
      </w:r>
    </w:p>
    <w:p w:rsidR="007D190C" w:rsidRDefault="00DE4D55" w:rsidP="00412056">
      <w:pPr>
        <w:spacing w:line="360" w:lineRule="auto"/>
        <w:jc w:val="both"/>
        <w:rPr>
          <w:rFonts w:ascii="David" w:hAnsi="David"/>
          <w:b/>
          <w:bCs/>
          <w:rtl/>
        </w:rPr>
      </w:pPr>
      <w:r>
        <w:rPr>
          <w:rFonts w:ascii="David" w:hAnsi="David" w:hint="cs"/>
          <w:b/>
          <w:bCs/>
          <w:rtl/>
        </w:rPr>
        <w:t>עותק זה של גזר הדין איננו בא להחליף את העותק המלא והש</w:t>
      </w:r>
      <w:r w:rsidR="00412056">
        <w:rPr>
          <w:rFonts w:ascii="David" w:hAnsi="David" w:hint="cs"/>
          <w:b/>
          <w:bCs/>
          <w:rtl/>
        </w:rPr>
        <w:t>לם של גזר הדין אשר אסור בפרסום.</w:t>
      </w:r>
    </w:p>
    <w:p w:rsidR="003C5B79" w:rsidRDefault="00DE4D55" w:rsidP="00FA4AA9">
      <w:pPr>
        <w:spacing w:line="360" w:lineRule="auto"/>
        <w:jc w:val="both"/>
        <w:rPr>
          <w:rFonts w:ascii="David" w:hAnsi="David"/>
          <w:b/>
          <w:bCs/>
          <w:rtl/>
        </w:rPr>
      </w:pPr>
      <w:r>
        <w:rPr>
          <w:rFonts w:ascii="David" w:hAnsi="David" w:hint="cs"/>
          <w:b/>
          <w:bCs/>
          <w:rtl/>
        </w:rPr>
        <w:t xml:space="preserve">אנו מתירים </w:t>
      </w:r>
      <w:r w:rsidR="007D190C">
        <w:rPr>
          <w:rFonts w:ascii="David" w:hAnsi="David" w:hint="cs"/>
          <w:b/>
          <w:bCs/>
          <w:rtl/>
        </w:rPr>
        <w:t>לפרסום עותק זה לאחר ש</w:t>
      </w:r>
      <w:r>
        <w:rPr>
          <w:rFonts w:ascii="David" w:hAnsi="David" w:hint="cs"/>
          <w:b/>
          <w:bCs/>
          <w:rtl/>
        </w:rPr>
        <w:t>הושמטו החלקים</w:t>
      </w:r>
      <w:r w:rsidR="008029BF">
        <w:rPr>
          <w:rFonts w:ascii="David" w:hAnsi="David" w:hint="cs"/>
          <w:b/>
          <w:bCs/>
          <w:rtl/>
        </w:rPr>
        <w:t xml:space="preserve"> </w:t>
      </w:r>
      <w:r w:rsidR="00FA4AA9">
        <w:rPr>
          <w:rFonts w:ascii="David" w:hAnsi="David" w:hint="cs"/>
          <w:b/>
          <w:bCs/>
          <w:rtl/>
        </w:rPr>
        <w:t xml:space="preserve">שיש בהם לזהות את פרטי הנאשם ואת פרטי נפגעות העבירות, וכן </w:t>
      </w:r>
      <w:r w:rsidR="00412056">
        <w:rPr>
          <w:rFonts w:ascii="David" w:hAnsi="David" w:hint="cs"/>
          <w:b/>
          <w:bCs/>
          <w:rtl/>
        </w:rPr>
        <w:t xml:space="preserve">את </w:t>
      </w:r>
      <w:r w:rsidR="00FA4AA9">
        <w:rPr>
          <w:rFonts w:ascii="David" w:hAnsi="David" w:hint="cs"/>
          <w:b/>
          <w:bCs/>
          <w:rtl/>
        </w:rPr>
        <w:t xml:space="preserve">הקטעים </w:t>
      </w:r>
      <w:r w:rsidR="00EB047B">
        <w:rPr>
          <w:rFonts w:ascii="David" w:hAnsi="David" w:hint="cs"/>
          <w:b/>
          <w:bCs/>
          <w:rtl/>
        </w:rPr>
        <w:t>ש</w:t>
      </w:r>
      <w:r w:rsidR="007D190C">
        <w:rPr>
          <w:rFonts w:ascii="David" w:hAnsi="David" w:hint="cs"/>
          <w:b/>
          <w:bCs/>
          <w:rtl/>
        </w:rPr>
        <w:t xml:space="preserve">סוקרים את </w:t>
      </w:r>
      <w:r w:rsidR="008029BF">
        <w:rPr>
          <w:rFonts w:ascii="David" w:hAnsi="David" w:hint="cs"/>
          <w:b/>
          <w:bCs/>
          <w:rtl/>
        </w:rPr>
        <w:t xml:space="preserve">תסקירי הנאשם ותסקירי </w:t>
      </w:r>
      <w:r>
        <w:rPr>
          <w:rFonts w:ascii="David" w:hAnsi="David" w:hint="cs"/>
          <w:b/>
          <w:bCs/>
          <w:rtl/>
        </w:rPr>
        <w:t xml:space="preserve">נפגעות </w:t>
      </w:r>
      <w:r w:rsidR="008029BF">
        <w:rPr>
          <w:rFonts w:ascii="David" w:hAnsi="David" w:hint="cs"/>
          <w:b/>
          <w:bCs/>
          <w:rtl/>
        </w:rPr>
        <w:t>העבירה</w:t>
      </w:r>
      <w:r w:rsidR="007D190C">
        <w:rPr>
          <w:rFonts w:ascii="David" w:hAnsi="David" w:hint="cs"/>
          <w:b/>
          <w:bCs/>
          <w:rtl/>
        </w:rPr>
        <w:t xml:space="preserve">. </w:t>
      </w:r>
    </w:p>
    <w:p w:rsidR="007D190C" w:rsidRPr="007D190C" w:rsidRDefault="007D190C" w:rsidP="007D190C">
      <w:pPr>
        <w:rPr>
          <w:rFonts w:ascii="David" w:hAnsi="David"/>
          <w:rtl/>
        </w:rPr>
      </w:pPr>
    </w:p>
    <w:p w:rsidR="007D190C" w:rsidRPr="007D190C" w:rsidRDefault="007D190C" w:rsidP="007D190C">
      <w:pPr>
        <w:rPr>
          <w:rFonts w:ascii="David" w:hAnsi="David"/>
          <w:rtl/>
        </w:rPr>
      </w:pPr>
    </w:p>
    <w:p w:rsidR="007D190C" w:rsidRPr="007D190C" w:rsidRDefault="00DE4D55" w:rsidP="007D190C">
      <w:pPr>
        <w:rPr>
          <w:rFonts w:ascii="David" w:hAnsi="David"/>
          <w:u w:val="single"/>
          <w:rtl/>
        </w:rPr>
      </w:pPr>
      <w:r w:rsidRPr="007D190C">
        <w:rPr>
          <w:rFonts w:ascii="David" w:hAnsi="David"/>
          <w:u w:val="single"/>
          <w:rtl/>
        </w:rPr>
        <w:t>השופטת הבכירה גיליה רביד, אב"ד:</w:t>
      </w:r>
    </w:p>
    <w:p w:rsidR="007D190C" w:rsidRPr="007D190C" w:rsidRDefault="007D190C" w:rsidP="007D190C">
      <w:pPr>
        <w:rPr>
          <w:rFonts w:ascii="David" w:hAnsi="David"/>
          <w:rtl/>
        </w:rPr>
      </w:pPr>
    </w:p>
    <w:p w:rsidR="007D190C" w:rsidRPr="007D190C" w:rsidRDefault="007D190C" w:rsidP="007D190C">
      <w:pPr>
        <w:rPr>
          <w:rFonts w:ascii="David" w:hAnsi="David"/>
          <w:rtl/>
        </w:rPr>
      </w:pPr>
    </w:p>
    <w:p w:rsidR="007D190C" w:rsidRPr="007D190C" w:rsidRDefault="00DE4D55" w:rsidP="007D190C">
      <w:pPr>
        <w:spacing w:line="360" w:lineRule="auto"/>
        <w:ind w:left="720" w:hanging="720"/>
        <w:jc w:val="both"/>
        <w:rPr>
          <w:rFonts w:ascii="David" w:hAnsi="David"/>
          <w:rtl/>
        </w:rPr>
      </w:pPr>
      <w:r>
        <w:rPr>
          <w:rFonts w:ascii="David" w:hAnsi="David"/>
          <w:rtl/>
        </w:rPr>
        <w:t>1.</w:t>
      </w:r>
      <w:r>
        <w:rPr>
          <w:rFonts w:ascii="David" w:hAnsi="David"/>
          <w:rtl/>
        </w:rPr>
        <w:tab/>
        <w:t>מלאכת גזירת הדין בתיק זה הי</w:t>
      </w:r>
      <w:r>
        <w:rPr>
          <w:rFonts w:ascii="David" w:hAnsi="David" w:hint="cs"/>
          <w:rtl/>
        </w:rPr>
        <w:t>יתה</w:t>
      </w:r>
      <w:r>
        <w:rPr>
          <w:rFonts w:ascii="David" w:hAnsi="David"/>
          <w:rtl/>
        </w:rPr>
        <w:t xml:space="preserve"> מבין הקשות והמורכבו</w:t>
      </w:r>
      <w:r>
        <w:rPr>
          <w:rFonts w:ascii="David" w:hAnsi="David" w:hint="cs"/>
          <w:rtl/>
        </w:rPr>
        <w:t>ת.</w:t>
      </w:r>
      <w:r w:rsidRPr="007D190C">
        <w:rPr>
          <w:rFonts w:ascii="David" w:hAnsi="David"/>
          <w:rtl/>
        </w:rPr>
        <w:t xml:space="preserve"> כתב האישום, כפי שעוד יפורט, מגלם בחובו מסכת אירועים קשה ומטרידה שמצדיקה מטיבה התייחסות עונשית רצינית. יחד עם זאת, נוכח גילו הצעיר מאוד של הנאשם בעת ביצוע העבירות, והר</w:t>
      </w:r>
      <w:r w:rsidRPr="007D190C">
        <w:rPr>
          <w:rFonts w:ascii="David" w:hAnsi="David"/>
          <w:rtl/>
        </w:rPr>
        <w:t xml:space="preserve">גישות הנלווית לנסיבות ביצוע העבירות, לא ניתן ולא נכון להתעלם ממכלול שיקולים נוספים שבמקרה שלנו משמשים יחד - ואין האחד גובר בהכרח על השני. </w:t>
      </w:r>
    </w:p>
    <w:p w:rsidR="007D190C" w:rsidRPr="007D190C" w:rsidRDefault="00DE4D55" w:rsidP="007D190C">
      <w:pPr>
        <w:spacing w:line="360" w:lineRule="auto"/>
        <w:ind w:left="720"/>
        <w:jc w:val="both"/>
        <w:rPr>
          <w:rFonts w:ascii="David" w:hAnsi="David"/>
          <w:rtl/>
        </w:rPr>
      </w:pPr>
      <w:r w:rsidRPr="007D190C">
        <w:rPr>
          <w:rFonts w:ascii="David" w:hAnsi="David"/>
          <w:rtl/>
        </w:rPr>
        <w:t>למורכבות מצטרף הפער הגדול בין עמדת המאשימה אשר עתרה לענישה חמורה במיוחד בדמות מאסר בפועל ממושך– עמדה שמצאה ביטוי גם בדברי מרבית נפגעות העבירה- לבין עמדתו האחרת של שירות המבחן לנוער כפי שעוד יפורט בהמשך, אשר בהתאם לחוק ולפסיקה, להמלצתו משקל נכבד בענישת נאשמ</w:t>
      </w:r>
      <w:r w:rsidRPr="007D190C">
        <w:rPr>
          <w:rFonts w:ascii="David" w:hAnsi="David"/>
          <w:rtl/>
        </w:rPr>
        <w:t xml:space="preserve">ים קטינים. </w:t>
      </w:r>
    </w:p>
    <w:p w:rsidR="007D190C" w:rsidRPr="007D190C" w:rsidRDefault="00DE4D55" w:rsidP="007D190C">
      <w:pPr>
        <w:spacing w:line="360" w:lineRule="auto"/>
        <w:jc w:val="both"/>
        <w:rPr>
          <w:rFonts w:ascii="David" w:hAnsi="David"/>
          <w:rtl/>
        </w:rPr>
      </w:pPr>
      <w:r w:rsidRPr="007D190C">
        <w:rPr>
          <w:rFonts w:ascii="David" w:hAnsi="David"/>
          <w:rtl/>
        </w:rPr>
        <w:tab/>
        <w:t xml:space="preserve">מצד אחד, כפי שהציבה המאשימה, עומדים שיקולי הגמול, זאת, בין היתר, על רקע דברי </w:t>
      </w:r>
      <w:r w:rsidRPr="007D190C">
        <w:rPr>
          <w:rFonts w:ascii="David" w:hAnsi="David"/>
          <w:rtl/>
        </w:rPr>
        <w:tab/>
        <w:t xml:space="preserve">נפגעות </w:t>
      </w:r>
      <w:r w:rsidRPr="007D190C">
        <w:rPr>
          <w:rFonts w:ascii="David" w:hAnsi="David"/>
          <w:rtl/>
        </w:rPr>
        <w:tab/>
        <w:t xml:space="preserve">העבירה שהן ובני משפחותיהן ביטאו מציאות חיים קשה בעקבות המעשים </w:t>
      </w:r>
      <w:r w:rsidRPr="007D190C">
        <w:rPr>
          <w:rFonts w:ascii="David" w:hAnsi="David"/>
          <w:rtl/>
        </w:rPr>
        <w:lastRenderedPageBreak/>
        <w:tab/>
        <w:t xml:space="preserve">וכתוצאה מעצם חשיפתם. לכך מצטרף שיקול ההרתעה, לרבות הרתעת הרבים "למען </w:t>
      </w:r>
      <w:r w:rsidRPr="007D190C">
        <w:rPr>
          <w:rFonts w:ascii="David" w:hAnsi="David"/>
          <w:rtl/>
        </w:rPr>
        <w:tab/>
        <w:t xml:space="preserve">ייראו וייראו". </w:t>
      </w:r>
    </w:p>
    <w:p w:rsidR="007D190C" w:rsidRPr="007D190C" w:rsidRDefault="00DE4D55" w:rsidP="007D190C">
      <w:pPr>
        <w:spacing w:line="360" w:lineRule="auto"/>
        <w:jc w:val="both"/>
        <w:rPr>
          <w:rFonts w:ascii="David" w:hAnsi="David"/>
          <w:rtl/>
        </w:rPr>
      </w:pPr>
      <w:r w:rsidRPr="007D190C">
        <w:rPr>
          <w:rFonts w:ascii="David" w:hAnsi="David"/>
          <w:rtl/>
        </w:rPr>
        <w:tab/>
        <w:t>מנגד, נ</w:t>
      </w:r>
      <w:r w:rsidRPr="007D190C">
        <w:rPr>
          <w:rFonts w:ascii="David" w:hAnsi="David"/>
          <w:rtl/>
        </w:rPr>
        <w:t xml:space="preserve">יצבים שורה של שיקולים רלוונטיים, שחלקם מופיעים בתסקיר הנאשם, שיקולים </w:t>
      </w:r>
      <w:r w:rsidRPr="007D190C">
        <w:rPr>
          <w:rFonts w:ascii="David" w:hAnsi="David"/>
          <w:rtl/>
        </w:rPr>
        <w:tab/>
        <w:t xml:space="preserve">ששומה על בית המשפט בשבתו כבית משפט לנוער לשקול כמצוות הדין, שיקולים אשר </w:t>
      </w:r>
      <w:r w:rsidRPr="007D190C">
        <w:rPr>
          <w:rFonts w:ascii="David" w:hAnsi="David"/>
          <w:rtl/>
        </w:rPr>
        <w:tab/>
        <w:t xml:space="preserve">קשורים בנאשם, נסיבותיו גילו, ושיקומו. הנאשם הוא בן גילן של המתלוננות וכמותן </w:t>
      </w:r>
      <w:r w:rsidRPr="007D190C">
        <w:rPr>
          <w:rFonts w:ascii="David" w:hAnsi="David"/>
          <w:rtl/>
        </w:rPr>
        <w:tab/>
        <w:t xml:space="preserve">קטין מרקע נורמטיבי. שיקומו איננו רק </w:t>
      </w:r>
      <w:r w:rsidRPr="007D190C">
        <w:rPr>
          <w:rFonts w:ascii="David" w:hAnsi="David"/>
          <w:rtl/>
        </w:rPr>
        <w:t xml:space="preserve">אינטרס שלו, אלא בצדו גם אינטרס חברתי חשוב </w:t>
      </w:r>
      <w:r w:rsidRPr="007D190C">
        <w:rPr>
          <w:rFonts w:ascii="David" w:hAnsi="David"/>
          <w:rtl/>
        </w:rPr>
        <w:tab/>
        <w:t>שנועד, בין היתר, למנוע הישנות המעשים בעתיד תוך הגנה על נפגעות בפוטנציה.</w:t>
      </w:r>
    </w:p>
    <w:p w:rsidR="007D190C" w:rsidRPr="007D190C" w:rsidRDefault="00DE4D55" w:rsidP="007D190C">
      <w:pPr>
        <w:spacing w:line="360" w:lineRule="auto"/>
        <w:jc w:val="both"/>
        <w:rPr>
          <w:rFonts w:ascii="David" w:hAnsi="David"/>
          <w:rtl/>
        </w:rPr>
      </w:pPr>
      <w:r w:rsidRPr="007D190C">
        <w:rPr>
          <w:rFonts w:ascii="David" w:hAnsi="David"/>
          <w:rtl/>
        </w:rPr>
        <w:tab/>
        <w:t xml:space="preserve">נדרשים אנו אפוא לאזן במכחול דק בין השיקולים ותתי השיקולים השונים בשאיפה </w:t>
      </w:r>
      <w:r w:rsidRPr="007D190C">
        <w:rPr>
          <w:rFonts w:ascii="David" w:hAnsi="David"/>
          <w:rtl/>
        </w:rPr>
        <w:tab/>
        <w:t xml:space="preserve">להביא </w:t>
      </w:r>
      <w:r w:rsidRPr="007D190C">
        <w:rPr>
          <w:rFonts w:ascii="David" w:hAnsi="David"/>
          <w:rtl/>
        </w:rPr>
        <w:tab/>
        <w:t>לתוצאה מיטבית ונכונה ככל שניתן, הכל במסגרת הדין, כללי הענישה</w:t>
      </w:r>
      <w:r w:rsidRPr="007D190C">
        <w:rPr>
          <w:rFonts w:ascii="David" w:hAnsi="David"/>
          <w:rtl/>
        </w:rPr>
        <w:t xml:space="preserve"> ותוך הלימה </w:t>
      </w:r>
      <w:r w:rsidRPr="007D190C">
        <w:rPr>
          <w:rFonts w:ascii="David" w:hAnsi="David"/>
          <w:rtl/>
        </w:rPr>
        <w:tab/>
        <w:t xml:space="preserve">למקרים אחרים שנדונו בפסיקה. כטיבו של איזון, לא יהא בענישה שעליה יוחלט, כדי </w:t>
      </w:r>
      <w:r w:rsidRPr="007D190C">
        <w:rPr>
          <w:rFonts w:ascii="David" w:hAnsi="David"/>
          <w:rtl/>
        </w:rPr>
        <w:tab/>
        <w:t>להפיס את דעת הכל. בית משפט לא יעשה מלאכתו נכונה אם יבקש להפיס.</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jc w:val="both"/>
        <w:rPr>
          <w:rFonts w:ascii="David" w:hAnsi="David"/>
          <w:rtl/>
        </w:rPr>
      </w:pPr>
      <w:r w:rsidRPr="007D190C">
        <w:rPr>
          <w:rFonts w:ascii="David" w:hAnsi="David"/>
          <w:rtl/>
        </w:rPr>
        <w:t>2.</w:t>
      </w:r>
      <w:r w:rsidRPr="007D190C">
        <w:rPr>
          <w:rFonts w:ascii="David" w:hAnsi="David"/>
          <w:rtl/>
        </w:rPr>
        <w:tab/>
        <w:t xml:space="preserve">הנאשם הודה בתאריך 30.6.22 בכתב אישום מתוקן שהוגש במסגרת הסדר טיעון, לאחר </w:t>
      </w:r>
      <w:r w:rsidRPr="007D190C">
        <w:rPr>
          <w:rFonts w:ascii="David" w:hAnsi="David"/>
          <w:rtl/>
        </w:rPr>
        <w:tab/>
        <w:t>הליך גישור שהתנהל לפני כב'</w:t>
      </w:r>
      <w:r w:rsidRPr="007D190C">
        <w:rPr>
          <w:rFonts w:ascii="David" w:hAnsi="David"/>
          <w:rtl/>
        </w:rPr>
        <w:t xml:space="preserve"> סג"נ השופט בני שגיא, ההסדר </w:t>
      </w:r>
      <w:r w:rsidRPr="007D190C">
        <w:rPr>
          <w:rFonts w:ascii="David" w:hAnsi="David"/>
          <w:u w:val="single"/>
          <w:rtl/>
        </w:rPr>
        <w:t>לא</w:t>
      </w:r>
      <w:r w:rsidRPr="007D190C">
        <w:rPr>
          <w:rFonts w:ascii="David" w:hAnsi="David"/>
          <w:rtl/>
        </w:rPr>
        <w:t xml:space="preserve"> כלל הסכמה עונשית, </w:t>
      </w:r>
      <w:r w:rsidRPr="007D190C">
        <w:rPr>
          <w:rFonts w:ascii="David" w:hAnsi="David"/>
          <w:rtl/>
        </w:rPr>
        <w:tab/>
        <w:t xml:space="preserve">למעט רכיב של פיצוי מוסכם בסך של 20,000 ₪ לכל אחת מששת הנפגעות. סכום זה הופקד </w:t>
      </w:r>
      <w:r w:rsidRPr="007D190C">
        <w:rPr>
          <w:rFonts w:ascii="David" w:hAnsi="David"/>
          <w:rtl/>
        </w:rPr>
        <w:tab/>
        <w:t xml:space="preserve">בקופת בית המשפט מיד לאחר החתימה על הסדר. באותו מעמד הורה בית המשפט על </w:t>
      </w:r>
      <w:r w:rsidRPr="007D190C">
        <w:rPr>
          <w:rFonts w:ascii="David" w:hAnsi="David"/>
          <w:rtl/>
        </w:rPr>
        <w:tab/>
        <w:t>העברת הדיון להרכב זה לצורך טיעונים לעונש והתבקשו תסקירי ק</w:t>
      </w:r>
      <w:r w:rsidRPr="007D190C">
        <w:rPr>
          <w:rFonts w:ascii="David" w:hAnsi="David"/>
          <w:rtl/>
        </w:rPr>
        <w:t xml:space="preserve">ורבן ותסקיר נאשם </w:t>
      </w:r>
      <w:r w:rsidRPr="007D190C">
        <w:rPr>
          <w:rFonts w:ascii="David" w:hAnsi="David"/>
          <w:rtl/>
        </w:rPr>
        <w:tab/>
        <w:t xml:space="preserve">(תסקיר חובה). </w:t>
      </w:r>
    </w:p>
    <w:p w:rsidR="007D190C" w:rsidRPr="007D190C" w:rsidRDefault="00DE4D55" w:rsidP="007D190C">
      <w:pPr>
        <w:spacing w:line="360" w:lineRule="auto"/>
        <w:jc w:val="both"/>
        <w:rPr>
          <w:rFonts w:ascii="David" w:hAnsi="David"/>
          <w:rtl/>
        </w:rPr>
      </w:pPr>
      <w:r w:rsidRPr="007D190C">
        <w:rPr>
          <w:rFonts w:ascii="David" w:hAnsi="David"/>
          <w:rtl/>
        </w:rPr>
        <w:tab/>
        <w:t xml:space="preserve">בתאריך 8.8.22, פנתה המפקחת על תסקירי נפגעי עבירה קטינים בבקשה לדחות את </w:t>
      </w:r>
      <w:r w:rsidRPr="007D190C">
        <w:rPr>
          <w:rFonts w:ascii="David" w:hAnsi="David"/>
          <w:rtl/>
        </w:rPr>
        <w:tab/>
        <w:t xml:space="preserve">מועד </w:t>
      </w:r>
      <w:r w:rsidRPr="007D190C">
        <w:rPr>
          <w:rFonts w:ascii="David" w:hAnsi="David"/>
          <w:rtl/>
        </w:rPr>
        <w:tab/>
        <w:t xml:space="preserve">הדיון שנקבע על ידנו ליום 28.9.22 נוכח הקושי לעמוד בסד הזמנים שנקבע, והדיון נדחה </w:t>
      </w:r>
      <w:r w:rsidRPr="007D190C">
        <w:rPr>
          <w:rFonts w:ascii="David" w:hAnsi="David"/>
          <w:rtl/>
        </w:rPr>
        <w:tab/>
        <w:t>לבקשתה ליום 4.12.22. מאז נדחו הטיעונים לעונש שתי פעמים נוספות ל</w:t>
      </w:r>
      <w:r w:rsidRPr="007D190C">
        <w:rPr>
          <w:rFonts w:ascii="David" w:hAnsi="David"/>
          <w:rtl/>
        </w:rPr>
        <w:t xml:space="preserve">בקשת שירות המבחן </w:t>
      </w:r>
      <w:r w:rsidRPr="007D190C">
        <w:rPr>
          <w:rFonts w:ascii="David" w:hAnsi="David"/>
          <w:rtl/>
        </w:rPr>
        <w:tab/>
        <w:t xml:space="preserve">לנוער לצורך גיבוש תסקיר אודות הנאשם, זאת בעיקר על רקע הצורך לעמוד על ההליך </w:t>
      </w:r>
      <w:r w:rsidRPr="007D190C">
        <w:rPr>
          <w:rFonts w:ascii="David" w:hAnsi="David"/>
          <w:rtl/>
        </w:rPr>
        <w:tab/>
        <w:t xml:space="preserve">הטיפולי שבו השתלב הנאשם עם שחרורו ממעצר. יצוין, שגם עובר להגשת התסקיר האחרון, </w:t>
      </w:r>
      <w:r w:rsidRPr="007D190C">
        <w:rPr>
          <w:rFonts w:ascii="David" w:hAnsi="David"/>
          <w:rtl/>
        </w:rPr>
        <w:tab/>
        <w:t xml:space="preserve">המלצת שירות המבחן הייתה להמשיך ולדחות את הטיעונים לעונש כדי להמשיך </w:t>
      </w:r>
      <w:r w:rsidRPr="007D190C">
        <w:rPr>
          <w:rFonts w:ascii="David" w:hAnsi="David"/>
          <w:rtl/>
        </w:rPr>
        <w:tab/>
        <w:t>ולעקוב אחר התקד</w:t>
      </w:r>
      <w:r w:rsidRPr="007D190C">
        <w:rPr>
          <w:rFonts w:ascii="David" w:hAnsi="David"/>
          <w:rtl/>
        </w:rPr>
        <w:t xml:space="preserve">מות הנאשם בטיפול, אלא שבמכלול האיזונים, החלטנו שלא </w:t>
      </w:r>
      <w:r w:rsidRPr="007D190C">
        <w:rPr>
          <w:rFonts w:ascii="David" w:hAnsi="David"/>
          <w:rtl/>
        </w:rPr>
        <w:tab/>
        <w:t xml:space="preserve">להיעתר לבקשה זו והורינו על הגשת תסקיר סופי בתוך חודש. זאת עשינו על רקע התנגדות </w:t>
      </w:r>
      <w:r w:rsidRPr="007D190C">
        <w:rPr>
          <w:rFonts w:ascii="David" w:hAnsi="David"/>
          <w:rtl/>
        </w:rPr>
        <w:tab/>
        <w:t xml:space="preserve">המאשימה בנימוק שכבר חלף פרק זמן ארוך מאז תחילת ההליך וככל הנראה עוד עתיד </w:t>
      </w:r>
      <w:r w:rsidRPr="007D190C">
        <w:rPr>
          <w:rFonts w:ascii="David" w:hAnsi="David"/>
          <w:rtl/>
        </w:rPr>
        <w:tab/>
        <w:t xml:space="preserve">לחלוף זמן ניכר נוסף עד לסיום שלב הטיפול, וכן נוכח </w:t>
      </w:r>
      <w:r w:rsidRPr="007D190C">
        <w:rPr>
          <w:rFonts w:ascii="David" w:hAnsi="David"/>
          <w:rtl/>
        </w:rPr>
        <w:t xml:space="preserve">המצוקה והקושי שביטאו הנפגעות </w:t>
      </w:r>
      <w:r w:rsidRPr="007D190C">
        <w:rPr>
          <w:rFonts w:ascii="David" w:hAnsi="David"/>
          <w:rtl/>
        </w:rPr>
        <w:tab/>
        <w:t xml:space="preserve">מהימשכות ההליך תוך הבעת רצון לשים מאחוריהן פרק זה בחייהן. </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jc w:val="both"/>
        <w:rPr>
          <w:rFonts w:ascii="David" w:hAnsi="David"/>
          <w:rtl/>
        </w:rPr>
      </w:pPr>
      <w:r w:rsidRPr="007D190C">
        <w:rPr>
          <w:rFonts w:ascii="David" w:hAnsi="David"/>
          <w:rtl/>
        </w:rPr>
        <w:t>3.</w:t>
      </w:r>
      <w:r w:rsidRPr="007D190C">
        <w:rPr>
          <w:rFonts w:ascii="David" w:hAnsi="David"/>
          <w:rtl/>
        </w:rPr>
        <w:tab/>
      </w:r>
      <w:r w:rsidRPr="007D190C">
        <w:rPr>
          <w:rFonts w:ascii="David" w:hAnsi="David"/>
          <w:b/>
          <w:bCs/>
          <w:u w:val="single"/>
          <w:rtl/>
        </w:rPr>
        <w:t>עובדות כתב האישום והעבירות שבהן הודה הנאשם</w:t>
      </w:r>
    </w:p>
    <w:p w:rsidR="007D190C" w:rsidRPr="007D190C" w:rsidRDefault="007D190C" w:rsidP="007D190C">
      <w:pPr>
        <w:spacing w:line="360" w:lineRule="auto"/>
        <w:jc w:val="both"/>
        <w:rPr>
          <w:rFonts w:ascii="David" w:hAnsi="David"/>
          <w:rtl/>
        </w:rPr>
      </w:pPr>
    </w:p>
    <w:p w:rsidR="007D190C" w:rsidRPr="007D190C" w:rsidRDefault="00DE4D55" w:rsidP="00383ABB">
      <w:pPr>
        <w:spacing w:line="360" w:lineRule="auto"/>
        <w:jc w:val="both"/>
        <w:rPr>
          <w:rFonts w:ascii="David" w:hAnsi="David"/>
          <w:rtl/>
        </w:rPr>
      </w:pPr>
      <w:r w:rsidRPr="007D190C">
        <w:rPr>
          <w:rFonts w:ascii="David" w:hAnsi="David"/>
          <w:rtl/>
        </w:rPr>
        <w:t>3.1</w:t>
      </w:r>
      <w:r w:rsidRPr="007D190C">
        <w:rPr>
          <w:rFonts w:ascii="David" w:hAnsi="David"/>
          <w:rtl/>
        </w:rPr>
        <w:tab/>
        <w:t xml:space="preserve">הנאשם הודה, כאמור, בעובדות כתב אישום מתוקן שכולל 6 אישומים, והורשע בביצוע </w:t>
      </w:r>
      <w:r w:rsidRPr="007D190C">
        <w:rPr>
          <w:rFonts w:ascii="David" w:hAnsi="David"/>
          <w:rtl/>
        </w:rPr>
        <w:tab/>
        <w:t>העבירות הבאות: שני אישומים של אינוס קטינ</w:t>
      </w:r>
      <w:r w:rsidRPr="007D190C">
        <w:rPr>
          <w:rFonts w:ascii="David" w:hAnsi="David"/>
          <w:rtl/>
        </w:rPr>
        <w:t xml:space="preserve">ה לפי סעיפים 345(ב)(1) בנסיבות סעיף </w:t>
      </w:r>
      <w:r w:rsidRPr="007D190C">
        <w:rPr>
          <w:rFonts w:ascii="David" w:hAnsi="David"/>
          <w:rtl/>
        </w:rPr>
        <w:lastRenderedPageBreak/>
        <w:tab/>
        <w:t xml:space="preserve">345(א)(1) לחוק העונשין תשל"ז-1977 (להלן: "החוק"); שני אישומים של מעשה מגונה </w:t>
      </w:r>
      <w:r w:rsidRPr="007D190C">
        <w:rPr>
          <w:rFonts w:ascii="David" w:hAnsi="David"/>
          <w:rtl/>
        </w:rPr>
        <w:tab/>
        <w:t>בקטינה שלא מלאו לה 16, לפי סעיף 348(א</w:t>
      </w:r>
      <w:r w:rsidR="00383ABB">
        <w:rPr>
          <w:rFonts w:ascii="David" w:hAnsi="David" w:hint="cs"/>
          <w:rtl/>
        </w:rPr>
        <w:t>)</w:t>
      </w:r>
      <w:r w:rsidRPr="007D190C">
        <w:rPr>
          <w:rFonts w:ascii="David" w:hAnsi="David"/>
          <w:rtl/>
        </w:rPr>
        <w:t xml:space="preserve"> בנסיבות סעיף 345(ב)(1) לחוק; ניסיון אינוס </w:t>
      </w:r>
      <w:r w:rsidRPr="007D190C">
        <w:rPr>
          <w:rFonts w:ascii="David" w:hAnsi="David"/>
          <w:rtl/>
        </w:rPr>
        <w:tab/>
      </w:r>
      <w:r w:rsidRPr="007D190C">
        <w:rPr>
          <w:rFonts w:ascii="David" w:hAnsi="David"/>
          <w:rtl/>
        </w:rPr>
        <w:t xml:space="preserve">קטינה לפי סעיפים 345(ב)(1) יחד עם סעיף 25 לחוק; שני אישומים של מעשה מגונה לפי </w:t>
      </w:r>
      <w:r w:rsidRPr="007D190C">
        <w:rPr>
          <w:rFonts w:ascii="David" w:hAnsi="David"/>
          <w:rtl/>
        </w:rPr>
        <w:tab/>
        <w:t xml:space="preserve">סעיף 348(ג) לחוק. בהכרעת הדין שניתנה עובר לגזר דין זה הרשענו את הנאשם בביצוע </w:t>
      </w:r>
      <w:r w:rsidRPr="007D190C">
        <w:rPr>
          <w:rFonts w:ascii="David" w:hAnsi="David"/>
          <w:rtl/>
        </w:rPr>
        <w:tab/>
        <w:t xml:space="preserve">עבירות </w:t>
      </w:r>
      <w:r w:rsidRPr="007D190C">
        <w:rPr>
          <w:rFonts w:ascii="David" w:hAnsi="David"/>
          <w:rtl/>
        </w:rPr>
        <w:tab/>
        <w:t xml:space="preserve">אלה. </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jc w:val="both"/>
        <w:rPr>
          <w:rFonts w:ascii="David" w:hAnsi="David"/>
          <w:rtl/>
        </w:rPr>
      </w:pPr>
      <w:r w:rsidRPr="007D190C">
        <w:rPr>
          <w:rFonts w:ascii="David" w:hAnsi="David"/>
          <w:rtl/>
        </w:rPr>
        <w:t>3.2</w:t>
      </w:r>
      <w:r w:rsidRPr="007D190C">
        <w:rPr>
          <w:rFonts w:ascii="David" w:hAnsi="David"/>
          <w:rtl/>
        </w:rPr>
        <w:tab/>
        <w:t xml:space="preserve">עניינו של </w:t>
      </w:r>
      <w:r w:rsidRPr="007D190C">
        <w:rPr>
          <w:rFonts w:ascii="David" w:hAnsi="David"/>
          <w:b/>
          <w:bCs/>
          <w:rtl/>
        </w:rPr>
        <w:t>האישום הראשון</w:t>
      </w:r>
      <w:r w:rsidRPr="007D190C">
        <w:rPr>
          <w:rFonts w:ascii="David" w:hAnsi="David"/>
          <w:rtl/>
        </w:rPr>
        <w:t xml:space="preserve">, שבגינו הורשע הנאשם בעבירה של אינוס קטינה, הוא </w:t>
      </w:r>
      <w:r w:rsidRPr="007D190C">
        <w:rPr>
          <w:rFonts w:ascii="David" w:hAnsi="David"/>
          <w:rtl/>
        </w:rPr>
        <w:tab/>
        <w:t xml:space="preserve">באירוע </w:t>
      </w:r>
      <w:r w:rsidRPr="007D190C">
        <w:rPr>
          <w:rFonts w:ascii="David" w:hAnsi="David"/>
          <w:rtl/>
        </w:rPr>
        <w:tab/>
      </w:r>
      <w:r w:rsidRPr="007D190C">
        <w:rPr>
          <w:rFonts w:ascii="David" w:hAnsi="David"/>
          <w:rtl/>
        </w:rPr>
        <w:t xml:space="preserve">שהתרחש </w:t>
      </w:r>
      <w:r w:rsidRPr="007D190C">
        <w:rPr>
          <w:rFonts w:ascii="David" w:hAnsi="David"/>
          <w:b/>
          <w:bCs/>
          <w:rtl/>
        </w:rPr>
        <w:t>ביום 19.11.21</w:t>
      </w:r>
      <w:r w:rsidRPr="007D190C">
        <w:rPr>
          <w:rFonts w:ascii="David" w:hAnsi="David"/>
          <w:rtl/>
        </w:rPr>
        <w:t xml:space="preserve"> בשעה 00:00 לערך כאשר בנסיבות חברתיות, פגשה א.א </w:t>
      </w:r>
      <w:r w:rsidRPr="007D190C">
        <w:rPr>
          <w:rFonts w:ascii="David" w:hAnsi="David"/>
          <w:rtl/>
        </w:rPr>
        <w:tab/>
        <w:t xml:space="preserve">קטינה ילידת 14.9.2006 את הנאשם אשר למד בשכבת הגיל שלה בתיכון. הנאשם יחד עם </w:t>
      </w:r>
      <w:r w:rsidRPr="007D190C">
        <w:rPr>
          <w:rFonts w:ascii="David" w:hAnsi="David"/>
          <w:rtl/>
        </w:rPr>
        <w:tab/>
        <w:t xml:space="preserve">חברו הציעו ל-א.א להתלוות אליהם לביתו של חבר נוסף המתגורר בתל אביב והיא </w:t>
      </w:r>
      <w:r w:rsidRPr="007D190C">
        <w:rPr>
          <w:rFonts w:ascii="David" w:hAnsi="David"/>
          <w:rtl/>
        </w:rPr>
        <w:tab/>
        <w:t xml:space="preserve">נענתה </w:t>
      </w:r>
      <w:r w:rsidRPr="007D190C">
        <w:rPr>
          <w:rFonts w:ascii="David" w:hAnsi="David"/>
          <w:rtl/>
        </w:rPr>
        <w:tab/>
        <w:t>להצעתם. הוריו של אותו חבר נוסף ל</w:t>
      </w:r>
      <w:r w:rsidRPr="007D190C">
        <w:rPr>
          <w:rFonts w:ascii="David" w:hAnsi="David"/>
          <w:rtl/>
        </w:rPr>
        <w:t xml:space="preserve">א היו בבית באותה עת. בהיותם בדירת החבר, </w:t>
      </w:r>
      <w:r w:rsidRPr="007D190C">
        <w:rPr>
          <w:rFonts w:ascii="David" w:hAnsi="David"/>
          <w:rtl/>
        </w:rPr>
        <w:tab/>
        <w:t xml:space="preserve">הנאשם ו-א.א שוחחו ארוכות עד שהמתלוננת נרדמה. בשעה 06:00 לערך, נכנס </w:t>
      </w:r>
      <w:r w:rsidRPr="007D190C">
        <w:rPr>
          <w:rFonts w:ascii="David" w:hAnsi="David"/>
          <w:rtl/>
        </w:rPr>
        <w:tab/>
        <w:t xml:space="preserve">הנאשם </w:t>
      </w:r>
      <w:r w:rsidRPr="007D190C">
        <w:rPr>
          <w:rFonts w:ascii="David" w:hAnsi="David"/>
          <w:rtl/>
        </w:rPr>
        <w:tab/>
        <w:t xml:space="preserve">למיטה שבה ישנה המתלוננת, הכניס את ידו מתחת לחולצתה וחזייתה ונגע בחזה </w:t>
      </w:r>
      <w:r w:rsidRPr="007D190C">
        <w:rPr>
          <w:rFonts w:ascii="David" w:hAnsi="David"/>
          <w:rtl/>
        </w:rPr>
        <w:tab/>
        <w:t>ובישבנה. המתלוננת נעורה משנתה כתוצאה ממגעו של הנאשם ואמרה לו שהיא לא ח</w:t>
      </w:r>
      <w:r w:rsidRPr="007D190C">
        <w:rPr>
          <w:rFonts w:ascii="David" w:hAnsi="David"/>
          <w:rtl/>
        </w:rPr>
        <w:t xml:space="preserve">שה </w:t>
      </w:r>
      <w:r w:rsidRPr="007D190C">
        <w:rPr>
          <w:rFonts w:ascii="David" w:hAnsi="David"/>
          <w:rtl/>
        </w:rPr>
        <w:tab/>
        <w:t xml:space="preserve">בטוב. לאחר מספר דקות פתח הנאשם את כפתור מכנסיה של המתלוננת, הפשיל את </w:t>
      </w:r>
      <w:r w:rsidRPr="007D190C">
        <w:rPr>
          <w:rFonts w:ascii="David" w:hAnsi="David"/>
          <w:rtl/>
        </w:rPr>
        <w:tab/>
        <w:t xml:space="preserve">מכנסיה עד לברכיה ונגע באיבר מינה מעל לתחתוניה ללא הסכמתה. או אז הכניס הנאשם </w:t>
      </w:r>
      <w:r w:rsidRPr="007D190C">
        <w:rPr>
          <w:rFonts w:ascii="David" w:hAnsi="David"/>
          <w:rtl/>
        </w:rPr>
        <w:tab/>
        <w:t xml:space="preserve">את ידו מתחת לתחתוניה של המתלוננת והחדיר את אצבעותיו לאיבר מינה למרות שניסתה </w:t>
      </w:r>
      <w:r w:rsidRPr="007D190C">
        <w:rPr>
          <w:rFonts w:ascii="David" w:hAnsi="David"/>
          <w:rtl/>
        </w:rPr>
        <w:tab/>
        <w:t>לסגת ואמרה לו שהיא לא חשה בט</w:t>
      </w:r>
      <w:r w:rsidRPr="007D190C">
        <w:rPr>
          <w:rFonts w:ascii="David" w:hAnsi="David"/>
          <w:rtl/>
        </w:rPr>
        <w:t xml:space="preserve">וב. לאחר זמן מה חדל הנאשם ממעשיו, הרים את </w:t>
      </w:r>
      <w:r w:rsidRPr="007D190C">
        <w:rPr>
          <w:rFonts w:ascii="David" w:hAnsi="David"/>
          <w:rtl/>
        </w:rPr>
        <w:tab/>
        <w:t>מכנסיה של המתלוננת אמר לה שהוא מצטער ויצא מהחדר.</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jc w:val="both"/>
        <w:rPr>
          <w:rFonts w:ascii="David" w:hAnsi="David"/>
          <w:rtl/>
        </w:rPr>
      </w:pPr>
      <w:r w:rsidRPr="007D190C">
        <w:rPr>
          <w:rFonts w:ascii="David" w:hAnsi="David"/>
          <w:rtl/>
        </w:rPr>
        <w:t>3.3</w:t>
      </w:r>
      <w:r w:rsidRPr="007D190C">
        <w:rPr>
          <w:rFonts w:ascii="David" w:hAnsi="David"/>
          <w:rtl/>
        </w:rPr>
        <w:tab/>
        <w:t xml:space="preserve">עניינו של </w:t>
      </w:r>
      <w:r w:rsidRPr="007D190C">
        <w:rPr>
          <w:rFonts w:ascii="David" w:hAnsi="David"/>
          <w:b/>
          <w:bCs/>
          <w:rtl/>
        </w:rPr>
        <w:t>האישום השני</w:t>
      </w:r>
      <w:r w:rsidRPr="007D190C">
        <w:rPr>
          <w:rFonts w:ascii="David" w:hAnsi="David"/>
          <w:rtl/>
        </w:rPr>
        <w:t xml:space="preserve"> שבגינו הורשע הנאשם בביצוע מספר עבירות של מעשה מגונה </w:t>
      </w:r>
      <w:r w:rsidRPr="007D190C">
        <w:rPr>
          <w:rFonts w:ascii="David" w:hAnsi="David"/>
          <w:rtl/>
        </w:rPr>
        <w:tab/>
        <w:t>בקטינה שגילה פחות מגיל 16, התרחש ב-</w:t>
      </w:r>
      <w:r w:rsidRPr="007D190C">
        <w:rPr>
          <w:rFonts w:ascii="David" w:hAnsi="David"/>
          <w:b/>
          <w:bCs/>
          <w:rtl/>
        </w:rPr>
        <w:t>16.8.20</w:t>
      </w:r>
      <w:r w:rsidRPr="007D190C">
        <w:rPr>
          <w:rFonts w:ascii="David" w:hAnsi="David"/>
          <w:rtl/>
        </w:rPr>
        <w:t xml:space="preserve"> בשעות הערב המאוחרות כאשר ב.ב, </w:t>
      </w:r>
      <w:r w:rsidRPr="007D190C">
        <w:rPr>
          <w:rFonts w:ascii="David" w:hAnsi="David"/>
          <w:rtl/>
        </w:rPr>
        <w:tab/>
        <w:t>קטינה יליד</w:t>
      </w:r>
      <w:r w:rsidRPr="007D190C">
        <w:rPr>
          <w:rFonts w:ascii="David" w:hAnsi="David"/>
          <w:rtl/>
        </w:rPr>
        <w:t xml:space="preserve">ת 21.11.2006 פגשה את הנאשם, שהיה חברה לשכבת הלימודים בתיכון </w:t>
      </w:r>
      <w:r w:rsidRPr="007D190C">
        <w:rPr>
          <w:rFonts w:ascii="David" w:hAnsi="David"/>
          <w:rtl/>
        </w:rPr>
        <w:tab/>
        <w:t xml:space="preserve">בנסיבות חברתיות בביתה של ז.ס בתל אביב. הוריה של ס.ז לא היו בבית באותה עת. </w:t>
      </w:r>
      <w:r w:rsidRPr="007D190C">
        <w:rPr>
          <w:rFonts w:ascii="David" w:hAnsi="David"/>
          <w:rtl/>
        </w:rPr>
        <w:tab/>
        <w:t xml:space="preserve">בהמשך הלילה נותרו לישון בדירת ס.ז גם ג.ר, ע.ט, ב.ב והנאשם. הנאשם, ב.ב ו-ע.ט </w:t>
      </w:r>
      <w:r w:rsidRPr="007D190C">
        <w:rPr>
          <w:rFonts w:ascii="David" w:hAnsi="David"/>
          <w:rtl/>
        </w:rPr>
        <w:tab/>
        <w:t>התמקמו לשינה באחד החדרים וחלקו מיטה משותפת,</w:t>
      </w:r>
      <w:r w:rsidRPr="007D190C">
        <w:rPr>
          <w:rFonts w:ascii="David" w:hAnsi="David"/>
          <w:rtl/>
        </w:rPr>
        <w:t xml:space="preserve"> כאשר הנאשם שוכב בין שתיהן. </w:t>
      </w:r>
      <w:r w:rsidRPr="007D190C">
        <w:rPr>
          <w:rFonts w:ascii="David" w:hAnsi="David"/>
          <w:rtl/>
        </w:rPr>
        <w:tab/>
        <w:t xml:space="preserve">בשלב מסוים ע.ט נרדמה והנאשם ו-ב.ב המשיכו לשוחח במיטה. לאחר ש-ע.ט נרדמה נישק </w:t>
      </w:r>
      <w:r w:rsidRPr="007D190C">
        <w:rPr>
          <w:rFonts w:ascii="David" w:hAnsi="David"/>
          <w:rtl/>
        </w:rPr>
        <w:tab/>
        <w:t xml:space="preserve">הנאשם את ב.ב, הרים אותה מעליו והשניים המשיכו להתנשק. לאחר מכן הכניס הנאשם </w:t>
      </w:r>
      <w:r w:rsidRPr="007D190C">
        <w:rPr>
          <w:rFonts w:ascii="David" w:hAnsi="David"/>
          <w:rtl/>
        </w:rPr>
        <w:tab/>
        <w:t>את ידו מבעד למכנסיה של המתלוננת, הסיט את תחתוניה ונגע באיבר מינה ללא הסכמתה</w:t>
      </w:r>
      <w:r w:rsidRPr="007D190C">
        <w:rPr>
          <w:rFonts w:ascii="David" w:hAnsi="David"/>
          <w:rtl/>
        </w:rPr>
        <w:t xml:space="preserve">. </w:t>
      </w:r>
      <w:r w:rsidRPr="007D190C">
        <w:rPr>
          <w:rFonts w:ascii="David" w:hAnsi="David"/>
          <w:rtl/>
        </w:rPr>
        <w:tab/>
        <w:t xml:space="preserve">בסמוך לאחר מכן הצמיד הנאשם את איבר מינו לאיבר מינה של המתלוננת, שעה שהיא </w:t>
      </w:r>
      <w:r w:rsidRPr="007D190C">
        <w:rPr>
          <w:rFonts w:ascii="David" w:hAnsi="David"/>
          <w:rtl/>
        </w:rPr>
        <w:tab/>
        <w:t xml:space="preserve">שכבה מאליו. המתלוננת ביקשה להתרחק מהנאשם אך הנאשם המשיך ונגע באמצעות ידו </w:t>
      </w:r>
      <w:r w:rsidRPr="007D190C">
        <w:rPr>
          <w:rFonts w:ascii="David" w:hAnsi="David"/>
          <w:rtl/>
        </w:rPr>
        <w:tab/>
        <w:t xml:space="preserve">באיבר מינה של המתלוננת. או אז קמה ע.ט מהמיטה והלכה לסלון. המתלוננת ניצלה את </w:t>
      </w:r>
      <w:r w:rsidRPr="007D190C">
        <w:rPr>
          <w:rFonts w:ascii="David" w:hAnsi="David"/>
          <w:rtl/>
        </w:rPr>
        <w:tab/>
        <w:t>ההזדמנות קמה מעל הנאשם והלכה</w:t>
      </w:r>
      <w:r w:rsidRPr="007D190C">
        <w:rPr>
          <w:rFonts w:ascii="David" w:hAnsi="David"/>
          <w:rtl/>
        </w:rPr>
        <w:t xml:space="preserve"> אחר ע.ט. הנאשם הגיע אף הוא לסלון בעקבותיהן, </w:t>
      </w:r>
      <w:r w:rsidRPr="007D190C">
        <w:rPr>
          <w:rFonts w:ascii="David" w:hAnsi="David"/>
          <w:rtl/>
        </w:rPr>
        <w:tab/>
        <w:t xml:space="preserve">אלא שאז ז.ס, הנערה שזו דירתה, ביקשה מהם לשוב לחדר השינה. בחוזרם לחדר השינה </w:t>
      </w:r>
      <w:r w:rsidRPr="007D190C">
        <w:rPr>
          <w:rFonts w:ascii="David" w:hAnsi="David"/>
          <w:rtl/>
        </w:rPr>
        <w:lastRenderedPageBreak/>
        <w:tab/>
        <w:t xml:space="preserve">בשעה 05:00 לערך, סירבה ב.ב לישון במיטה עם הנאשם ולכן המשיכה לשבת על השטיח </w:t>
      </w:r>
      <w:r w:rsidRPr="007D190C">
        <w:rPr>
          <w:rFonts w:ascii="David" w:hAnsi="David"/>
          <w:rtl/>
        </w:rPr>
        <w:tab/>
        <w:t>בחדר במשך כשעתיים. בשעה 07:00 לערך, כאשר ב.ב הניחה שהנאשם נ</w:t>
      </w:r>
      <w:r w:rsidRPr="007D190C">
        <w:rPr>
          <w:rFonts w:ascii="David" w:hAnsi="David"/>
          <w:rtl/>
        </w:rPr>
        <w:t xml:space="preserve">רדם שבה למיטה </w:t>
      </w:r>
      <w:r w:rsidRPr="007D190C">
        <w:rPr>
          <w:rFonts w:ascii="David" w:hAnsi="David"/>
          <w:rtl/>
        </w:rPr>
        <w:tab/>
        <w:t xml:space="preserve">ואולם לאחר כשעה, כאשר נרדמה, נצמד אליה הנאשם לאחורי גופה עם איבר מינו הזקור. </w:t>
      </w:r>
      <w:r w:rsidRPr="007D190C">
        <w:rPr>
          <w:rFonts w:ascii="David" w:hAnsi="David"/>
          <w:rtl/>
        </w:rPr>
        <w:tab/>
        <w:t>כאשר ב.ב חשה בכך היא קמה מהמיטה, התקשרה לאביה ועזבה את הדירה.</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jc w:val="both"/>
        <w:rPr>
          <w:rFonts w:ascii="David" w:hAnsi="David"/>
          <w:rtl/>
        </w:rPr>
      </w:pPr>
      <w:r w:rsidRPr="007D190C">
        <w:rPr>
          <w:rFonts w:ascii="David" w:hAnsi="David"/>
          <w:rtl/>
        </w:rPr>
        <w:t>3.4</w:t>
      </w:r>
      <w:r w:rsidRPr="007D190C">
        <w:rPr>
          <w:rFonts w:ascii="David" w:hAnsi="David"/>
          <w:rtl/>
        </w:rPr>
        <w:tab/>
      </w:r>
      <w:r w:rsidRPr="007D190C">
        <w:rPr>
          <w:rFonts w:ascii="David" w:hAnsi="David"/>
          <w:b/>
          <w:bCs/>
          <w:rtl/>
        </w:rPr>
        <w:t>באישום השלישי</w:t>
      </w:r>
      <w:r w:rsidRPr="007D190C">
        <w:rPr>
          <w:rFonts w:ascii="David" w:hAnsi="David"/>
          <w:rtl/>
        </w:rPr>
        <w:t xml:space="preserve"> מתוארים שני מקרים שהתרחשו </w:t>
      </w:r>
      <w:r w:rsidRPr="007D190C">
        <w:rPr>
          <w:rFonts w:ascii="David" w:hAnsi="David"/>
          <w:b/>
          <w:bCs/>
          <w:rtl/>
        </w:rPr>
        <w:t>בחודש ספטמבר 2020</w:t>
      </w:r>
      <w:r w:rsidRPr="007D190C">
        <w:rPr>
          <w:rFonts w:ascii="David" w:hAnsi="David"/>
          <w:rtl/>
        </w:rPr>
        <w:t xml:space="preserve"> שבגינם הורשע</w:t>
      </w:r>
      <w:r w:rsidRPr="007D190C">
        <w:rPr>
          <w:rFonts w:ascii="David" w:hAnsi="David"/>
          <w:rtl/>
        </w:rPr>
        <w:tab/>
        <w:t>הנאשם בעבירות של אינוס קט</w:t>
      </w:r>
      <w:r w:rsidRPr="007D190C">
        <w:rPr>
          <w:rFonts w:ascii="David" w:hAnsi="David"/>
          <w:rtl/>
        </w:rPr>
        <w:t xml:space="preserve">ינה. הנאשם ו-ג.ג ילידת 22.7.06 למדו יחד בתיכון ונפגשו </w:t>
      </w:r>
      <w:r w:rsidRPr="007D190C">
        <w:rPr>
          <w:rFonts w:ascii="David" w:hAnsi="David"/>
          <w:rtl/>
        </w:rPr>
        <w:tab/>
        <w:t xml:space="preserve">בשלהי חודש אוגוסט 2020 ונוצר ביניהם קשר אינטימי זוגי. כבר בתחילת הקשר אמרה </w:t>
      </w:r>
      <w:r w:rsidRPr="007D190C">
        <w:rPr>
          <w:rFonts w:ascii="David" w:hAnsi="David"/>
          <w:rtl/>
        </w:rPr>
        <w:tab/>
        <w:t xml:space="preserve">ג.ג. לנאשם שלא קיימה יחסי מין מעולם ואיננה מעוניינת בכך והוא אמר שאיננו מצפה </w:t>
      </w:r>
      <w:r w:rsidRPr="007D190C">
        <w:rPr>
          <w:rFonts w:ascii="David" w:hAnsi="David"/>
          <w:rtl/>
        </w:rPr>
        <w:tab/>
        <w:t xml:space="preserve">לכך ממנה. </w:t>
      </w:r>
    </w:p>
    <w:p w:rsidR="007D190C" w:rsidRPr="007D190C" w:rsidRDefault="00DE4D55" w:rsidP="007D190C">
      <w:pPr>
        <w:spacing w:line="360" w:lineRule="auto"/>
        <w:jc w:val="both"/>
        <w:rPr>
          <w:rFonts w:ascii="David" w:hAnsi="David"/>
          <w:rtl/>
        </w:rPr>
      </w:pPr>
      <w:r w:rsidRPr="007D190C">
        <w:rPr>
          <w:rFonts w:ascii="David" w:hAnsi="David"/>
          <w:rtl/>
        </w:rPr>
        <w:tab/>
        <w:t>בתאריך 2.9.20 הגיעה ג.ג. לדירת הנאש</w:t>
      </w:r>
      <w:r w:rsidRPr="007D190C">
        <w:rPr>
          <w:rFonts w:ascii="David" w:hAnsi="David"/>
          <w:rtl/>
        </w:rPr>
        <w:t xml:space="preserve">ם בת"א. השניים שכבו יחד על המיטה בחדרו של </w:t>
      </w:r>
      <w:r w:rsidRPr="007D190C">
        <w:rPr>
          <w:rFonts w:ascii="David" w:hAnsi="David"/>
          <w:rtl/>
        </w:rPr>
        <w:tab/>
        <w:t xml:space="preserve">הנאשם והמתלוננת ביקשה ללכת לישון. הנאשם נצמד לגבה של המתלוננת, חיבקה </w:t>
      </w:r>
      <w:r w:rsidRPr="007D190C">
        <w:rPr>
          <w:rFonts w:ascii="David" w:hAnsi="David"/>
          <w:rtl/>
        </w:rPr>
        <w:tab/>
        <w:t xml:space="preserve">מאחור והצמיד את ישבנה לאיבר מינו ולאחר מכן נישק אותה בשפתיה ובלחיה. לאחר מכן </w:t>
      </w:r>
      <w:r w:rsidRPr="007D190C">
        <w:rPr>
          <w:rFonts w:ascii="David" w:hAnsi="David"/>
          <w:rtl/>
        </w:rPr>
        <w:tab/>
        <w:t>שכב הנאשם על גופה של ג.ג והמשיך לנשקה. ג.ג ביקשה מהנאשם לחדול ואמ</w:t>
      </w:r>
      <w:r w:rsidRPr="007D190C">
        <w:rPr>
          <w:rFonts w:ascii="David" w:hAnsi="David"/>
          <w:rtl/>
        </w:rPr>
        <w:t xml:space="preserve">רה לו שמעשיו </w:t>
      </w:r>
      <w:r w:rsidRPr="007D190C">
        <w:rPr>
          <w:rFonts w:ascii="David" w:hAnsi="David"/>
          <w:rtl/>
        </w:rPr>
        <w:tab/>
        <w:t xml:space="preserve">אינם מוסכמים עליה. הנאשם לא שעה לבקשת ג.ג הכניס את ידו מתחת לחצאית שלבשה, </w:t>
      </w:r>
      <w:r w:rsidRPr="007D190C">
        <w:rPr>
          <w:rFonts w:ascii="David" w:hAnsi="David"/>
          <w:rtl/>
        </w:rPr>
        <w:tab/>
        <w:t xml:space="preserve">הסיט את תחתוניה והחדיר את איבר מינו לאיבר מינה ללא הסכמה. לאחר מספר דקות </w:t>
      </w:r>
      <w:r w:rsidRPr="007D190C">
        <w:rPr>
          <w:rFonts w:ascii="David" w:hAnsi="David"/>
          <w:rtl/>
        </w:rPr>
        <w:tab/>
        <w:t>חדל הנאשם ממעשיו ואז ניצלה המתלוננת את ההזדמנות והדפה את הנאשם מעליה.</w:t>
      </w:r>
    </w:p>
    <w:p w:rsidR="007D190C" w:rsidRPr="007D190C" w:rsidRDefault="00DE4D55" w:rsidP="007D190C">
      <w:pPr>
        <w:spacing w:line="360" w:lineRule="auto"/>
        <w:jc w:val="both"/>
        <w:rPr>
          <w:rFonts w:ascii="David" w:hAnsi="David"/>
          <w:rtl/>
        </w:rPr>
      </w:pPr>
      <w:r w:rsidRPr="007D190C">
        <w:rPr>
          <w:rFonts w:ascii="David" w:hAnsi="David"/>
          <w:rtl/>
        </w:rPr>
        <w:tab/>
        <w:t>מספר ימים לאחר מכן שבו</w:t>
      </w:r>
      <w:r w:rsidRPr="007D190C">
        <w:rPr>
          <w:rFonts w:ascii="David" w:hAnsi="David"/>
          <w:rtl/>
        </w:rPr>
        <w:t xml:space="preserve"> הנאשם ו-ג.ג מבית הספר יחד לביתו של הנאשם. השניים שכבו </w:t>
      </w:r>
      <w:r w:rsidRPr="007D190C">
        <w:rPr>
          <w:rFonts w:ascii="David" w:hAnsi="David"/>
          <w:rtl/>
        </w:rPr>
        <w:tab/>
        <w:t xml:space="preserve">יחד על המיטה בחדרו של הנאשם והנאשם נשק ג.ג. הנאשם הוריד את מכנסיה ותחתוניה </w:t>
      </w:r>
      <w:r w:rsidRPr="007D190C">
        <w:rPr>
          <w:rFonts w:ascii="David" w:hAnsi="David"/>
          <w:rtl/>
        </w:rPr>
        <w:tab/>
        <w:t xml:space="preserve">של ג.ג והחדיר את איבר מינו לאיבר מינה ללא הסכמתה. המתלוננת ביקשה מהנאשם </w:t>
      </w:r>
      <w:r w:rsidRPr="007D190C">
        <w:rPr>
          <w:rFonts w:ascii="David" w:hAnsi="David"/>
          <w:rtl/>
        </w:rPr>
        <w:tab/>
        <w:t xml:space="preserve">להפסיק ממעשיו ואמרה לו שהוא מכאיב לה. הנאשם לא חדל </w:t>
      </w:r>
      <w:r w:rsidRPr="007D190C">
        <w:rPr>
          <w:rFonts w:ascii="David" w:hAnsi="David"/>
          <w:rtl/>
        </w:rPr>
        <w:t xml:space="preserve">ממעשיו עד ש-ג.ג הצליחה </w:t>
      </w:r>
      <w:r w:rsidRPr="007D190C">
        <w:rPr>
          <w:rFonts w:ascii="David" w:hAnsi="David"/>
          <w:rtl/>
        </w:rPr>
        <w:tab/>
        <w:t>להדפו מעל לגופה באמצעות רגליה וקמה מהמיטה.</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jc w:val="both"/>
        <w:rPr>
          <w:rFonts w:ascii="David" w:hAnsi="David"/>
          <w:rtl/>
        </w:rPr>
      </w:pPr>
      <w:r w:rsidRPr="007D190C">
        <w:rPr>
          <w:rFonts w:ascii="David" w:hAnsi="David"/>
          <w:rtl/>
        </w:rPr>
        <w:t>3.5</w:t>
      </w:r>
      <w:r w:rsidRPr="007D190C">
        <w:rPr>
          <w:rFonts w:ascii="David" w:hAnsi="David"/>
          <w:rtl/>
        </w:rPr>
        <w:tab/>
        <w:t xml:space="preserve">עניינו של </w:t>
      </w:r>
      <w:r w:rsidRPr="007D190C">
        <w:rPr>
          <w:rFonts w:ascii="David" w:hAnsi="David"/>
          <w:b/>
          <w:bCs/>
          <w:rtl/>
        </w:rPr>
        <w:t>האישום הרביעי</w:t>
      </w:r>
      <w:r w:rsidRPr="007D190C">
        <w:rPr>
          <w:rFonts w:ascii="David" w:hAnsi="David"/>
          <w:rtl/>
        </w:rPr>
        <w:t xml:space="preserve"> שבגינו הורשע הנאשם בעבירה של ניסיון לאינוס קטינה </w:t>
      </w:r>
      <w:r w:rsidRPr="007D190C">
        <w:rPr>
          <w:rFonts w:ascii="David" w:hAnsi="David"/>
          <w:rtl/>
        </w:rPr>
        <w:tab/>
        <w:t xml:space="preserve">ומעשה מגונה בקטינה שלא מלאו לה 16, התרחש בחודש אפריל 2020 כלפי ד.ד ילידת </w:t>
      </w:r>
      <w:r w:rsidRPr="007D190C">
        <w:rPr>
          <w:rFonts w:ascii="David" w:hAnsi="David"/>
          <w:rtl/>
        </w:rPr>
        <w:tab/>
        <w:t>5.4.2007 שעמה למד בבית הספר. בין הנא</w:t>
      </w:r>
      <w:r w:rsidRPr="007D190C">
        <w:rPr>
          <w:rFonts w:ascii="David" w:hAnsi="David"/>
          <w:rtl/>
        </w:rPr>
        <w:t xml:space="preserve">שם לבין ד.ד נוצר קשר חברתי. במועד שאינו </w:t>
      </w:r>
      <w:r w:rsidRPr="007D190C">
        <w:rPr>
          <w:rFonts w:ascii="David" w:hAnsi="David"/>
          <w:rtl/>
        </w:rPr>
        <w:tab/>
        <w:t xml:space="preserve">ידוע </w:t>
      </w:r>
      <w:r w:rsidRPr="007D190C">
        <w:rPr>
          <w:rFonts w:ascii="David" w:hAnsi="David"/>
          <w:b/>
          <w:bCs/>
          <w:rtl/>
        </w:rPr>
        <w:t>בחודש מאי 2020</w:t>
      </w:r>
      <w:r w:rsidRPr="007D190C">
        <w:rPr>
          <w:rFonts w:ascii="David" w:hAnsi="David"/>
          <w:rtl/>
        </w:rPr>
        <w:t xml:space="preserve"> באחד המפגשים של הנאשם והמתלוננת בביתו של הנאשם בתל </w:t>
      </w:r>
      <w:r w:rsidRPr="007D190C">
        <w:rPr>
          <w:rFonts w:ascii="David" w:hAnsi="David"/>
          <w:rtl/>
        </w:rPr>
        <w:tab/>
        <w:t xml:space="preserve">אביב, שכבו השניים על המטה בחדרו של הנאשם. שניהם היו בבגדיהם התחתונים והנאשם </w:t>
      </w:r>
      <w:r w:rsidRPr="007D190C">
        <w:rPr>
          <w:rFonts w:ascii="David" w:hAnsi="David"/>
          <w:rtl/>
        </w:rPr>
        <w:tab/>
        <w:t xml:space="preserve">שכב מאחורי ד.ד. הנאשם הסיט את תחתוניה של המתלוננת וניסה להחדיר את </w:t>
      </w:r>
      <w:r w:rsidRPr="007D190C">
        <w:rPr>
          <w:rFonts w:ascii="David" w:hAnsi="David"/>
          <w:rtl/>
        </w:rPr>
        <w:t xml:space="preserve">איבר מינו </w:t>
      </w:r>
      <w:r w:rsidRPr="007D190C">
        <w:rPr>
          <w:rFonts w:ascii="David" w:hAnsi="David"/>
          <w:rtl/>
        </w:rPr>
        <w:tab/>
        <w:t xml:space="preserve">לאיבר מינה ללא הסכמתה. ד.ד ביקשה מהנאשם לחדול אך הנאשם לא שעה לבקשותיה </w:t>
      </w:r>
      <w:r w:rsidRPr="007D190C">
        <w:rPr>
          <w:rFonts w:ascii="David" w:hAnsi="David"/>
          <w:rtl/>
        </w:rPr>
        <w:tab/>
        <w:t xml:space="preserve">עד שנאלצה לקום מהמיטה כדי שיחדל ממעשיו. במועד אחר בחודש מאי 2020 כאשר ד.ד </w:t>
      </w:r>
      <w:r w:rsidRPr="007D190C">
        <w:rPr>
          <w:rFonts w:ascii="David" w:hAnsi="David"/>
          <w:rtl/>
        </w:rPr>
        <w:tab/>
        <w:t xml:space="preserve">הייתה בביתו של הנאשם שניהם היו בבגדיהם התחתונים; בביתו של הנאשם ו-ד.ד ישבה </w:t>
      </w:r>
      <w:r w:rsidRPr="007D190C">
        <w:rPr>
          <w:rFonts w:ascii="David" w:hAnsi="David"/>
          <w:rtl/>
        </w:rPr>
        <w:tab/>
        <w:t>על ברכיו של הנאשם, הוצ</w:t>
      </w:r>
      <w:r w:rsidRPr="007D190C">
        <w:rPr>
          <w:rFonts w:ascii="David" w:hAnsi="David"/>
          <w:rtl/>
        </w:rPr>
        <w:t xml:space="preserve">יא לפתע הנאשם את איבר מינו מתחתוניו ומבלי ש-ד.ד שמה לב </w:t>
      </w:r>
      <w:r w:rsidRPr="007D190C">
        <w:rPr>
          <w:rFonts w:ascii="David" w:hAnsi="David"/>
          <w:rtl/>
        </w:rPr>
        <w:tab/>
        <w:t xml:space="preserve">הסיט מהר את תחתוניה וניסה להחדיר את איבר מינו לאיבר מינה. המתלוננת קמה </w:t>
      </w:r>
      <w:r w:rsidRPr="007D190C">
        <w:rPr>
          <w:rFonts w:ascii="David" w:hAnsi="David"/>
          <w:rtl/>
        </w:rPr>
        <w:lastRenderedPageBreak/>
        <w:tab/>
        <w:t xml:space="preserve">מהמיטה ואמרה לנאשם שאינה מעוניינת לקיים עמו יחסי מין והשניים המשיכו להתנשק. </w:t>
      </w:r>
      <w:r w:rsidRPr="007D190C">
        <w:rPr>
          <w:rFonts w:ascii="David" w:hAnsi="David"/>
          <w:rtl/>
        </w:rPr>
        <w:tab/>
        <w:t>מיד לאחר מכן ביצע הנאשם מעשה מגונה בכך שנגע באיבר מ</w:t>
      </w:r>
      <w:r w:rsidRPr="007D190C">
        <w:rPr>
          <w:rFonts w:ascii="David" w:hAnsi="David"/>
          <w:rtl/>
        </w:rPr>
        <w:t xml:space="preserve">ינה ללא הסכמתה. ד.ד ביקשה </w:t>
      </w:r>
      <w:r w:rsidRPr="007D190C">
        <w:rPr>
          <w:rFonts w:ascii="David" w:hAnsi="David"/>
          <w:rtl/>
        </w:rPr>
        <w:tab/>
        <w:t xml:space="preserve">מהנאשם לחדול ממעשיו אך הנאשם לא שעה לבקשתה וניסה בכוח להחדיר את אצבעותיו </w:t>
      </w:r>
      <w:r w:rsidRPr="007D190C">
        <w:rPr>
          <w:rFonts w:ascii="David" w:hAnsi="David"/>
          <w:rtl/>
        </w:rPr>
        <w:tab/>
        <w:t>לאיבר מינה. ד.ד הזיזה בכוח את ידו של הנאשם מאיבר מינה ורק אז חדל ממעשיו.</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jc w:val="both"/>
        <w:rPr>
          <w:rFonts w:ascii="David" w:hAnsi="David"/>
          <w:rtl/>
        </w:rPr>
      </w:pPr>
      <w:r w:rsidRPr="007D190C">
        <w:rPr>
          <w:rFonts w:ascii="David" w:hAnsi="David"/>
          <w:rtl/>
        </w:rPr>
        <w:t>3.6</w:t>
      </w:r>
      <w:r w:rsidRPr="007D190C">
        <w:rPr>
          <w:rFonts w:ascii="David" w:hAnsi="David"/>
          <w:rtl/>
        </w:rPr>
        <w:tab/>
        <w:t xml:space="preserve">אשר </w:t>
      </w:r>
      <w:r w:rsidRPr="007D190C">
        <w:rPr>
          <w:rFonts w:ascii="David" w:hAnsi="David"/>
          <w:b/>
          <w:bCs/>
          <w:rtl/>
        </w:rPr>
        <w:t>לאישום החמישי</w:t>
      </w:r>
      <w:r w:rsidRPr="007D190C">
        <w:rPr>
          <w:rFonts w:ascii="David" w:hAnsi="David"/>
          <w:rtl/>
        </w:rPr>
        <w:t xml:space="preserve">: את ה.ה ילידת 2.6.2006 שעמה למד הנאשם בתיכון פגש הנאשם </w:t>
      </w:r>
      <w:r w:rsidRPr="007D190C">
        <w:rPr>
          <w:rFonts w:ascii="David" w:hAnsi="David"/>
          <w:rtl/>
        </w:rPr>
        <w:tab/>
        <w:t>בנס</w:t>
      </w:r>
      <w:r w:rsidRPr="007D190C">
        <w:rPr>
          <w:rFonts w:ascii="David" w:hAnsi="David"/>
          <w:rtl/>
        </w:rPr>
        <w:t xml:space="preserve">יבות חברתיות בערך בחודש אוגוסט 2020 בבית של ר.ג בתל אביב. הוריו של ר.ג לא </w:t>
      </w:r>
      <w:r w:rsidRPr="007D190C">
        <w:rPr>
          <w:rFonts w:ascii="David" w:hAnsi="David"/>
          <w:rtl/>
        </w:rPr>
        <w:tab/>
        <w:t xml:space="preserve">שהו אותה עת בבית. הנאשם התיישב ליד ה.ה והשעין את גופה עליו ואחר כך חיבק את ד.ד </w:t>
      </w:r>
      <w:r w:rsidRPr="007D190C">
        <w:rPr>
          <w:rFonts w:ascii="David" w:hAnsi="David"/>
          <w:rtl/>
        </w:rPr>
        <w:tab/>
        <w:t>ואחז בשדה ללא הסכמתה ועל כך הורשע בביצוע עבירה של מעשה מגונה.</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jc w:val="both"/>
        <w:rPr>
          <w:rFonts w:ascii="David" w:hAnsi="David"/>
          <w:rtl/>
        </w:rPr>
      </w:pPr>
      <w:r w:rsidRPr="007D190C">
        <w:rPr>
          <w:rFonts w:ascii="David" w:hAnsi="David"/>
          <w:rtl/>
        </w:rPr>
        <w:t>3.7</w:t>
      </w:r>
      <w:r w:rsidRPr="007D190C">
        <w:rPr>
          <w:rFonts w:ascii="David" w:hAnsi="David"/>
          <w:rtl/>
        </w:rPr>
        <w:tab/>
        <w:t xml:space="preserve">עניינו של </w:t>
      </w:r>
      <w:r w:rsidRPr="007D190C">
        <w:rPr>
          <w:rFonts w:ascii="David" w:hAnsi="David"/>
          <w:b/>
          <w:bCs/>
          <w:rtl/>
        </w:rPr>
        <w:t>האישום השישי</w:t>
      </w:r>
      <w:r w:rsidRPr="007D190C">
        <w:rPr>
          <w:rFonts w:ascii="David" w:hAnsi="David"/>
          <w:rtl/>
        </w:rPr>
        <w:t xml:space="preserve"> שבגינו הורשע הנאשם במעשים מגונים שביצע בגופה של ו.ו </w:t>
      </w:r>
      <w:r w:rsidRPr="007D190C">
        <w:rPr>
          <w:rFonts w:ascii="David" w:hAnsi="David"/>
          <w:rtl/>
        </w:rPr>
        <w:tab/>
        <w:t xml:space="preserve">ילידת 31.7.2006 שעמה למד בבית הספר. בין השניים נוצר קשר חברי כאשר בתקופה </w:t>
      </w:r>
      <w:r w:rsidRPr="007D190C">
        <w:rPr>
          <w:rFonts w:ascii="David" w:hAnsi="David"/>
          <w:rtl/>
        </w:rPr>
        <w:tab/>
        <w:t xml:space="preserve">שבין </w:t>
      </w:r>
      <w:r w:rsidRPr="007D190C">
        <w:rPr>
          <w:rFonts w:ascii="David" w:hAnsi="David"/>
          <w:b/>
          <w:bCs/>
          <w:rtl/>
        </w:rPr>
        <w:t>12.6.19 לחודש יולי 2020</w:t>
      </w:r>
      <w:r w:rsidRPr="007D190C">
        <w:rPr>
          <w:rFonts w:ascii="David" w:hAnsi="David"/>
          <w:rtl/>
        </w:rPr>
        <w:t xml:space="preserve"> היו נוהגים להיפגש מעת לעת בביתו ובביתה. במספר </w:t>
      </w:r>
      <w:r w:rsidRPr="007D190C">
        <w:rPr>
          <w:rFonts w:ascii="David" w:hAnsi="David"/>
          <w:rtl/>
        </w:rPr>
        <w:tab/>
        <w:t>מועדים שאינם ידועים למאשימה, חיכך הנאשם את איבר מינו</w:t>
      </w:r>
      <w:r w:rsidRPr="007D190C">
        <w:rPr>
          <w:rFonts w:ascii="David" w:hAnsi="David"/>
          <w:rtl/>
        </w:rPr>
        <w:t xml:space="preserve"> בגופה של ו.ו. בעת ששהו </w:t>
      </w:r>
      <w:r w:rsidRPr="007D190C">
        <w:rPr>
          <w:rFonts w:ascii="David" w:hAnsi="David"/>
          <w:rtl/>
        </w:rPr>
        <w:tab/>
        <w:t>בביתה בתל אביב ללא הסכמתה וחרף בקשתה שיחדל מכך.</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jc w:val="both"/>
        <w:rPr>
          <w:rFonts w:ascii="David" w:hAnsi="David"/>
          <w:b/>
          <w:bCs/>
          <w:rtl/>
        </w:rPr>
      </w:pPr>
      <w:r w:rsidRPr="007D190C">
        <w:rPr>
          <w:rFonts w:ascii="David" w:hAnsi="David"/>
          <w:rtl/>
        </w:rPr>
        <w:t>4.</w:t>
      </w:r>
      <w:r w:rsidRPr="007D190C">
        <w:rPr>
          <w:rFonts w:ascii="David" w:hAnsi="David"/>
          <w:rtl/>
        </w:rPr>
        <w:tab/>
      </w:r>
      <w:r w:rsidRPr="007D190C">
        <w:rPr>
          <w:rFonts w:ascii="David" w:hAnsi="David"/>
          <w:b/>
          <w:bCs/>
          <w:u w:val="single"/>
          <w:rtl/>
        </w:rPr>
        <w:t>ראיות התביעה לעונש</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jc w:val="both"/>
        <w:rPr>
          <w:rFonts w:ascii="David" w:hAnsi="David"/>
          <w:rtl/>
        </w:rPr>
      </w:pPr>
      <w:r w:rsidRPr="007D190C">
        <w:rPr>
          <w:rFonts w:ascii="David" w:hAnsi="David"/>
          <w:rtl/>
        </w:rPr>
        <w:t>4.1</w:t>
      </w:r>
      <w:r w:rsidRPr="007D190C">
        <w:rPr>
          <w:rFonts w:ascii="David" w:hAnsi="David"/>
          <w:rtl/>
        </w:rPr>
        <w:tab/>
        <w:t>יצוין באופן כללי, כפי שיפורט ב</w:t>
      </w:r>
      <w:r>
        <w:rPr>
          <w:rFonts w:ascii="David" w:hAnsi="David"/>
          <w:rtl/>
        </w:rPr>
        <w:t xml:space="preserve">המשך ביתר הרחבה, </w:t>
      </w:r>
      <w:r w:rsidRPr="007D190C">
        <w:rPr>
          <w:rFonts w:ascii="David" w:hAnsi="David"/>
          <w:rtl/>
        </w:rPr>
        <w:t xml:space="preserve">ראיות המאשימה לעונש כללו </w:t>
      </w:r>
      <w:r w:rsidRPr="007D190C">
        <w:rPr>
          <w:rFonts w:ascii="David" w:hAnsi="David"/>
          <w:rtl/>
        </w:rPr>
        <w:tab/>
        <w:t xml:space="preserve">תסקירי נפגע עבירה בהתייחס לחמש מתוך נפגעות העבירה, דהיינו הנפגעות באישומים 1, </w:t>
      </w:r>
      <w:r w:rsidRPr="007D190C">
        <w:rPr>
          <w:rFonts w:ascii="David" w:hAnsi="David"/>
          <w:rtl/>
        </w:rPr>
        <w:tab/>
        <w:t xml:space="preserve">2, </w:t>
      </w:r>
      <w:r w:rsidRPr="007D190C">
        <w:rPr>
          <w:rFonts w:ascii="David" w:hAnsi="David"/>
          <w:rtl/>
        </w:rPr>
        <w:t xml:space="preserve">3, 4 ו-6. הנפגעת באישום 5 לא אבתה כי יימסר תסקיר בעניינה. כמו כן הוגשה הצהרת </w:t>
      </w:r>
      <w:r w:rsidRPr="007D190C">
        <w:rPr>
          <w:rFonts w:ascii="David" w:hAnsi="David"/>
          <w:rtl/>
        </w:rPr>
        <w:tab/>
        <w:t>נפגע עבירה שנרשמה על ידי אביה של נפגעת העבירה באישום 2. (ראו עת/1).</w:t>
      </w:r>
    </w:p>
    <w:p w:rsidR="007D190C" w:rsidRPr="007D190C" w:rsidRDefault="00DE4D55" w:rsidP="007D190C">
      <w:pPr>
        <w:spacing w:line="360" w:lineRule="auto"/>
        <w:jc w:val="both"/>
        <w:rPr>
          <w:rFonts w:ascii="David" w:hAnsi="David"/>
          <w:rtl/>
        </w:rPr>
      </w:pPr>
      <w:r w:rsidRPr="007D190C">
        <w:rPr>
          <w:rFonts w:ascii="David" w:hAnsi="David"/>
          <w:rtl/>
        </w:rPr>
        <w:tab/>
        <w:t xml:space="preserve">במסגרת הטיעונים לעונש, נשמעו עדויותיהן של הנפגעות באישומים 1, 3, 4 ו-6 וכן עדויות </w:t>
      </w:r>
      <w:r w:rsidRPr="007D190C">
        <w:rPr>
          <w:rFonts w:ascii="David" w:hAnsi="David"/>
          <w:rtl/>
        </w:rPr>
        <w:tab/>
        <w:t>אמותיהן של הנפגעות באישומי</w:t>
      </w:r>
      <w:r w:rsidRPr="007D190C">
        <w:rPr>
          <w:rFonts w:ascii="David" w:hAnsi="David"/>
          <w:rtl/>
        </w:rPr>
        <w:t xml:space="preserve">ם 1 ו-3. </w:t>
      </w:r>
    </w:p>
    <w:p w:rsidR="007D190C" w:rsidRPr="007D190C" w:rsidRDefault="00DE4D55" w:rsidP="007D190C">
      <w:pPr>
        <w:spacing w:line="360" w:lineRule="auto"/>
        <w:jc w:val="both"/>
        <w:rPr>
          <w:rFonts w:ascii="David" w:hAnsi="David"/>
          <w:rtl/>
        </w:rPr>
      </w:pPr>
      <w:r w:rsidRPr="007D190C">
        <w:rPr>
          <w:rFonts w:ascii="David" w:hAnsi="David"/>
          <w:rtl/>
        </w:rPr>
        <w:tab/>
        <w:t xml:space="preserve">ניתן לומר כבר עתה, כי כל הנפגעות דיברו מן הלב ונכנסו ללב. הן הרשימו ברהיטותן </w:t>
      </w:r>
      <w:r w:rsidRPr="007D190C">
        <w:rPr>
          <w:rFonts w:ascii="David" w:hAnsi="David"/>
          <w:rtl/>
        </w:rPr>
        <w:tab/>
        <w:t xml:space="preserve">ובכושר </w:t>
      </w:r>
      <w:r w:rsidRPr="007D190C">
        <w:rPr>
          <w:rFonts w:ascii="David" w:hAnsi="David"/>
          <w:rtl/>
        </w:rPr>
        <w:tab/>
        <w:t xml:space="preserve">הביטוי </w:t>
      </w:r>
      <w:r w:rsidRPr="007D190C">
        <w:rPr>
          <w:rFonts w:ascii="David" w:hAnsi="David"/>
          <w:rtl/>
        </w:rPr>
        <w:tab/>
        <w:t xml:space="preserve">שלהן. מדובר בנערות אינטליגנטיות ועוצמתיות. </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jc w:val="both"/>
        <w:rPr>
          <w:rFonts w:ascii="David" w:hAnsi="David"/>
          <w:rtl/>
        </w:rPr>
      </w:pPr>
      <w:r w:rsidRPr="007D190C">
        <w:rPr>
          <w:rFonts w:ascii="David" w:hAnsi="David"/>
          <w:rtl/>
        </w:rPr>
        <w:tab/>
        <w:t xml:space="preserve">להלן אפרט בקצרה נתונים מהתסקירים ומהעדויות השונות בהתייחס לכל אחת </w:t>
      </w:r>
      <w:r w:rsidRPr="007D190C">
        <w:rPr>
          <w:rFonts w:ascii="David" w:hAnsi="David"/>
          <w:rtl/>
        </w:rPr>
        <w:tab/>
        <w:t>מהמתלוננות, זאת במגבלות אי הפגיעה בפרט</w:t>
      </w:r>
      <w:r w:rsidRPr="007D190C">
        <w:rPr>
          <w:rFonts w:ascii="David" w:hAnsi="David"/>
          <w:rtl/>
        </w:rPr>
        <w:t>יות המתלוננות מעבר לנדרש.</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jc w:val="both"/>
        <w:rPr>
          <w:rFonts w:ascii="David" w:hAnsi="David"/>
          <w:rtl/>
        </w:rPr>
      </w:pPr>
      <w:r w:rsidRPr="007D190C">
        <w:rPr>
          <w:rFonts w:ascii="David" w:hAnsi="David"/>
          <w:rtl/>
        </w:rPr>
        <w:t>4.2</w:t>
      </w:r>
      <w:r w:rsidRPr="007D190C">
        <w:rPr>
          <w:rFonts w:ascii="David" w:hAnsi="David"/>
          <w:rtl/>
        </w:rPr>
        <w:tab/>
      </w:r>
      <w:r w:rsidRPr="007D190C">
        <w:rPr>
          <w:rFonts w:ascii="David" w:hAnsi="David"/>
          <w:b/>
          <w:bCs/>
          <w:u w:val="single"/>
          <w:rtl/>
        </w:rPr>
        <w:t>לגבי א.א נפגעת העבירה באישום הראשון</w:t>
      </w:r>
      <w:r w:rsidRPr="007D190C">
        <w:rPr>
          <w:rFonts w:ascii="David" w:hAnsi="David"/>
          <w:rtl/>
        </w:rPr>
        <w:t xml:space="preserve">: </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jc w:val="both"/>
        <w:rPr>
          <w:rFonts w:ascii="David" w:hAnsi="David"/>
          <w:rtl/>
        </w:rPr>
      </w:pPr>
      <w:r w:rsidRPr="007D190C">
        <w:rPr>
          <w:rFonts w:ascii="David" w:hAnsi="David"/>
          <w:rtl/>
        </w:rPr>
        <w:t>4.2.1</w:t>
      </w:r>
      <w:r w:rsidRPr="007D190C">
        <w:rPr>
          <w:rFonts w:ascii="David" w:hAnsi="David"/>
          <w:rtl/>
        </w:rPr>
        <w:tab/>
      </w:r>
      <w:r w:rsidRPr="007D190C">
        <w:rPr>
          <w:rFonts w:ascii="David" w:hAnsi="David"/>
          <w:u w:val="single"/>
          <w:rtl/>
        </w:rPr>
        <w:t>מתוך התסקיר בקצרה</w:t>
      </w:r>
      <w:r w:rsidRPr="007D190C">
        <w:rPr>
          <w:rFonts w:ascii="David" w:hAnsi="David"/>
          <w:rtl/>
        </w:rPr>
        <w:t xml:space="preserve">: </w:t>
      </w:r>
      <w:r w:rsidRPr="007D190C">
        <w:rPr>
          <w:rFonts w:ascii="David" w:hAnsi="David" w:hint="cs"/>
          <w:b/>
          <w:bCs/>
          <w:rtl/>
        </w:rPr>
        <w:t xml:space="preserve"> </w:t>
      </w:r>
      <w:r>
        <w:rPr>
          <w:rFonts w:ascii="David" w:hAnsi="David" w:hint="cs"/>
          <w:b/>
          <w:bCs/>
          <w:rtl/>
        </w:rPr>
        <w:t>הושמט</w:t>
      </w:r>
    </w:p>
    <w:p w:rsidR="007D190C" w:rsidRPr="007D190C" w:rsidRDefault="00DE4D55" w:rsidP="007D190C">
      <w:pPr>
        <w:spacing w:line="360" w:lineRule="auto"/>
        <w:jc w:val="both"/>
        <w:rPr>
          <w:rFonts w:ascii="David" w:hAnsi="David"/>
          <w:rtl/>
        </w:rPr>
      </w:pPr>
      <w:r w:rsidRPr="007D190C">
        <w:rPr>
          <w:rFonts w:ascii="David" w:hAnsi="David"/>
          <w:rtl/>
        </w:rPr>
        <w:lastRenderedPageBreak/>
        <w:t>4.2.2.</w:t>
      </w:r>
      <w:r w:rsidRPr="007D190C">
        <w:rPr>
          <w:rFonts w:ascii="David" w:hAnsi="David"/>
          <w:rtl/>
        </w:rPr>
        <w:tab/>
      </w:r>
      <w:r w:rsidRPr="007D190C">
        <w:rPr>
          <w:rFonts w:ascii="David" w:hAnsi="David"/>
          <w:u w:val="single"/>
          <w:rtl/>
        </w:rPr>
        <w:t>מעדות א.א לעונש בקצרה</w:t>
      </w:r>
      <w:r w:rsidRPr="007D190C">
        <w:rPr>
          <w:rFonts w:ascii="David" w:hAnsi="David"/>
          <w:rtl/>
        </w:rPr>
        <w:t xml:space="preserve">: א.א תיארה תקופה של חרדות, קושי בשינה, סיוטים </w:t>
      </w:r>
      <w:r w:rsidRPr="007D190C">
        <w:rPr>
          <w:rFonts w:ascii="David" w:hAnsi="David"/>
          <w:rtl/>
        </w:rPr>
        <w:tab/>
        <w:t xml:space="preserve">ופלשבקים. לדבריה, מתלמידה טובה מאוד הגיע למצב שהיא בקושי עוברת את הבחינות. </w:t>
      </w:r>
      <w:r w:rsidRPr="007D190C">
        <w:rPr>
          <w:rFonts w:ascii="David" w:hAnsi="David"/>
          <w:rtl/>
        </w:rPr>
        <w:tab/>
      </w:r>
      <w:r w:rsidRPr="007D190C">
        <w:rPr>
          <w:rFonts w:ascii="David" w:hAnsi="David"/>
          <w:rtl/>
        </w:rPr>
        <w:t xml:space="preserve">תיארה בעיות אמון בבני אדם. סיפרה בבכי כי כחודש לאחר המקרה החל גל של הכפשות </w:t>
      </w:r>
      <w:r w:rsidRPr="007D190C">
        <w:rPr>
          <w:rFonts w:ascii="David" w:hAnsi="David"/>
          <w:rtl/>
        </w:rPr>
        <w:tab/>
        <w:t xml:space="preserve">עליה בפייסבוק . נפגעת היא הפכה להיות מותקפת שצריכה להגן על עצמה ועל שמה הטוב. </w:t>
      </w:r>
      <w:r w:rsidRPr="007D190C">
        <w:rPr>
          <w:rFonts w:ascii="David" w:hAnsi="David"/>
          <w:rtl/>
        </w:rPr>
        <w:tab/>
        <w:t xml:space="preserve">א.א תיארה ניתוק מגופה, תחושה שהגוף שלה לא שייך לה. לדבריה, מעשה הנאשם הותיר </w:t>
      </w:r>
      <w:r w:rsidRPr="007D190C">
        <w:rPr>
          <w:rFonts w:ascii="David" w:hAnsi="David"/>
          <w:rtl/>
        </w:rPr>
        <w:tab/>
        <w:t xml:space="preserve">בה פצע </w:t>
      </w:r>
      <w:r w:rsidRPr="007D190C">
        <w:rPr>
          <w:rFonts w:ascii="David" w:hAnsi="David"/>
          <w:rtl/>
        </w:rPr>
        <w:tab/>
        <w:t xml:space="preserve">שלדעתה לעולם לא </w:t>
      </w:r>
      <w:r w:rsidRPr="007D190C">
        <w:rPr>
          <w:rFonts w:ascii="David" w:hAnsi="David"/>
          <w:rtl/>
        </w:rPr>
        <w:t xml:space="preserve">ניתן יהיה לרפאו לגמרי. א.א הסבירה כי זכתה לשמוע שצריך </w:t>
      </w:r>
      <w:r w:rsidRPr="007D190C">
        <w:rPr>
          <w:rFonts w:ascii="David" w:hAnsi="David"/>
          <w:rtl/>
        </w:rPr>
        <w:tab/>
        <w:t xml:space="preserve">יהיה להתחשב בנאשם לעונש כי הוא קטין אך לדבריה המעשים שעשה אינם מעשים של </w:t>
      </w:r>
      <w:r w:rsidRPr="007D190C">
        <w:rPr>
          <w:rFonts w:ascii="David" w:hAnsi="David"/>
          <w:rtl/>
        </w:rPr>
        <w:tab/>
        <w:t xml:space="preserve">קטין ויש להתייחס אליו כאילו היה בגיר, כשם שהוא לא התחשב בה שאף היא הייתה </w:t>
      </w:r>
      <w:r w:rsidRPr="007D190C">
        <w:rPr>
          <w:rFonts w:ascii="David" w:hAnsi="David"/>
          <w:rtl/>
        </w:rPr>
        <w:tab/>
        <w:t>קטינה בעוד שהיא נותרה לשלם את המחיר.</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jc w:val="both"/>
        <w:rPr>
          <w:rFonts w:ascii="David" w:hAnsi="David"/>
          <w:rtl/>
        </w:rPr>
      </w:pPr>
      <w:r w:rsidRPr="007D190C">
        <w:rPr>
          <w:rFonts w:ascii="David" w:hAnsi="David"/>
          <w:rtl/>
        </w:rPr>
        <w:t>4.2.3</w:t>
      </w:r>
      <w:r w:rsidRPr="007D190C">
        <w:rPr>
          <w:rFonts w:ascii="David" w:hAnsi="David"/>
          <w:rtl/>
        </w:rPr>
        <w:tab/>
      </w:r>
      <w:r w:rsidRPr="007D190C">
        <w:rPr>
          <w:rFonts w:ascii="David" w:hAnsi="David"/>
          <w:u w:val="single"/>
          <w:rtl/>
        </w:rPr>
        <w:t xml:space="preserve">מעדות אמה </w:t>
      </w:r>
      <w:r w:rsidRPr="007D190C">
        <w:rPr>
          <w:rFonts w:ascii="David" w:hAnsi="David"/>
          <w:u w:val="single"/>
          <w:rtl/>
        </w:rPr>
        <w:t>של א.א בקצרה</w:t>
      </w:r>
      <w:r w:rsidRPr="007D190C">
        <w:rPr>
          <w:rFonts w:ascii="David" w:hAnsi="David"/>
          <w:rtl/>
        </w:rPr>
        <w:t xml:space="preserve">: אמה של א.א, היא אם חד הורית ל-3 ילדים, ביניהם א.א. </w:t>
      </w:r>
      <w:r w:rsidRPr="007D190C">
        <w:rPr>
          <w:rFonts w:ascii="David" w:hAnsi="David"/>
          <w:rtl/>
        </w:rPr>
        <w:tab/>
        <w:t xml:space="preserve">היא הסבירה ששנה וחצי היא מתמודדת יחד עם א.א בגין האירוע שהשפיע לא רק על א.א </w:t>
      </w:r>
      <w:r w:rsidRPr="007D190C">
        <w:rPr>
          <w:rFonts w:ascii="David" w:hAnsi="David"/>
          <w:rtl/>
        </w:rPr>
        <w:tab/>
        <w:t xml:space="preserve">אלא על כל שאר בני הבית. היא תיארה שלאחר המקרה לא יכלה לצאת מהבית ולפרנס את </w:t>
      </w:r>
      <w:r w:rsidRPr="007D190C">
        <w:rPr>
          <w:rFonts w:ascii="David" w:hAnsi="David"/>
          <w:rtl/>
        </w:rPr>
        <w:tab/>
        <w:t>בני המשפחה כי חששה לגורלה של א.א שהתק</w:t>
      </w:r>
      <w:r w:rsidRPr="007D190C">
        <w:rPr>
          <w:rFonts w:ascii="David" w:hAnsi="David"/>
          <w:rtl/>
        </w:rPr>
        <w:t xml:space="preserve">שתה לתפקד, שלא ישנה, שלא אכלה, </w:t>
      </w:r>
      <w:r w:rsidRPr="007D190C">
        <w:rPr>
          <w:rFonts w:ascii="David" w:hAnsi="David"/>
          <w:rtl/>
        </w:rPr>
        <w:tab/>
        <w:t xml:space="preserve">שהשתנתה לרעה, לרבות בלימודים. </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jc w:val="both"/>
        <w:rPr>
          <w:rFonts w:ascii="David" w:hAnsi="David"/>
          <w:rtl/>
        </w:rPr>
      </w:pPr>
      <w:r w:rsidRPr="007D190C">
        <w:rPr>
          <w:rFonts w:ascii="David" w:hAnsi="David"/>
          <w:rtl/>
        </w:rPr>
        <w:t>4.3</w:t>
      </w:r>
      <w:r w:rsidRPr="007D190C">
        <w:rPr>
          <w:rFonts w:ascii="David" w:hAnsi="David"/>
          <w:rtl/>
        </w:rPr>
        <w:tab/>
      </w:r>
      <w:r w:rsidRPr="007D190C">
        <w:rPr>
          <w:rFonts w:ascii="David" w:hAnsi="David"/>
          <w:b/>
          <w:bCs/>
          <w:u w:val="single"/>
          <w:rtl/>
        </w:rPr>
        <w:t>לגבי ב.ב נפגעת העבירה באישום השני:</w:t>
      </w:r>
    </w:p>
    <w:p w:rsidR="007D190C" w:rsidRPr="007D190C" w:rsidRDefault="007D190C" w:rsidP="007D190C">
      <w:pPr>
        <w:spacing w:line="360" w:lineRule="auto"/>
        <w:jc w:val="both"/>
        <w:rPr>
          <w:rFonts w:ascii="David" w:hAnsi="David"/>
          <w:rtl/>
        </w:rPr>
      </w:pPr>
    </w:p>
    <w:p w:rsidR="007D190C" w:rsidRDefault="00DE4D55" w:rsidP="007D190C">
      <w:pPr>
        <w:spacing w:line="360" w:lineRule="auto"/>
        <w:jc w:val="both"/>
        <w:rPr>
          <w:rFonts w:ascii="David" w:hAnsi="David"/>
          <w:rtl/>
        </w:rPr>
      </w:pPr>
      <w:r w:rsidRPr="007D190C">
        <w:rPr>
          <w:rFonts w:ascii="David" w:hAnsi="David"/>
          <w:rtl/>
        </w:rPr>
        <w:t>4.3.1</w:t>
      </w:r>
      <w:r w:rsidRPr="007D190C">
        <w:rPr>
          <w:rFonts w:ascii="David" w:hAnsi="David"/>
          <w:rtl/>
        </w:rPr>
        <w:tab/>
      </w:r>
      <w:r w:rsidRPr="007D190C">
        <w:rPr>
          <w:rFonts w:ascii="David" w:hAnsi="David"/>
          <w:u w:val="single"/>
          <w:rtl/>
        </w:rPr>
        <w:t>מתוך התסקיר בקצרה</w:t>
      </w:r>
      <w:r w:rsidRPr="007D190C">
        <w:rPr>
          <w:rFonts w:ascii="David" w:hAnsi="David"/>
          <w:rtl/>
        </w:rPr>
        <w:t xml:space="preserve">: </w:t>
      </w:r>
      <w:r w:rsidRPr="007D190C">
        <w:rPr>
          <w:rFonts w:ascii="David" w:hAnsi="David" w:hint="cs"/>
          <w:b/>
          <w:bCs/>
          <w:rtl/>
        </w:rPr>
        <w:t xml:space="preserve"> </w:t>
      </w:r>
      <w:r>
        <w:rPr>
          <w:rFonts w:ascii="David" w:hAnsi="David" w:hint="cs"/>
          <w:b/>
          <w:bCs/>
          <w:rtl/>
        </w:rPr>
        <w:t>הושמט</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jc w:val="both"/>
        <w:rPr>
          <w:rFonts w:ascii="David" w:hAnsi="David"/>
          <w:rtl/>
        </w:rPr>
      </w:pPr>
      <w:r w:rsidRPr="007D190C">
        <w:rPr>
          <w:rFonts w:ascii="David" w:hAnsi="David"/>
          <w:rtl/>
        </w:rPr>
        <w:t>4.3.2</w:t>
      </w:r>
      <w:r w:rsidRPr="007D190C">
        <w:rPr>
          <w:rFonts w:ascii="David" w:hAnsi="David"/>
          <w:rtl/>
        </w:rPr>
        <w:tab/>
      </w:r>
      <w:r w:rsidRPr="007D190C">
        <w:rPr>
          <w:rFonts w:ascii="David" w:hAnsi="David"/>
          <w:u w:val="single"/>
          <w:rtl/>
        </w:rPr>
        <w:t>מתוך תצהיר אביה של ב.ב בקצרה</w:t>
      </w:r>
      <w:r w:rsidRPr="007D190C">
        <w:rPr>
          <w:rFonts w:ascii="David" w:hAnsi="David"/>
          <w:rtl/>
        </w:rPr>
        <w:t xml:space="preserve">: אביה של ב.ב שיתף את קורותיה של בתו וחילק לשלוש </w:t>
      </w:r>
      <w:r w:rsidRPr="007D190C">
        <w:rPr>
          <w:rFonts w:ascii="David" w:hAnsi="David"/>
          <w:rtl/>
        </w:rPr>
        <w:tab/>
        <w:t xml:space="preserve">תקופות עיקריות. במהלך השנה הראשונה </w:t>
      </w:r>
      <w:r w:rsidRPr="007D190C">
        <w:rPr>
          <w:rFonts w:ascii="David" w:hAnsi="David"/>
          <w:rtl/>
        </w:rPr>
        <w:t xml:space="preserve">שלאחר האירוע, טרם מהמשפחה נחשפה </w:t>
      </w:r>
      <w:r w:rsidRPr="007D190C">
        <w:rPr>
          <w:rFonts w:ascii="David" w:hAnsi="David"/>
          <w:rtl/>
        </w:rPr>
        <w:tab/>
        <w:t xml:space="preserve">לאירוע ניתן היה לחוש בשינוי מסוים שחל ב-ב.ב מהבחינה שהיא יותר הסתגרה, פחות </w:t>
      </w:r>
      <w:r w:rsidRPr="007D190C">
        <w:rPr>
          <w:rFonts w:ascii="David" w:hAnsi="David"/>
          <w:rtl/>
        </w:rPr>
        <w:tab/>
        <w:t xml:space="preserve">שיתפה, הגיבה בתוקפנות אך לא מדובר היה בהתנהגות שהדליקה 'אור אדום' אלא </w:t>
      </w:r>
      <w:r w:rsidRPr="007D190C">
        <w:rPr>
          <w:rFonts w:ascii="David" w:hAnsi="David"/>
          <w:rtl/>
        </w:rPr>
        <w:tab/>
        <w:t xml:space="preserve">התפרשה כחלק מגיל ההתבגרות. התקופה השנייה הייתה לאחר התפוצצות הפרשה </w:t>
      </w:r>
      <w:r w:rsidRPr="007D190C">
        <w:rPr>
          <w:rFonts w:ascii="David" w:hAnsi="David"/>
          <w:rtl/>
        </w:rPr>
        <w:tab/>
        <w:t>בדצמבר 2</w:t>
      </w:r>
      <w:r w:rsidRPr="007D190C">
        <w:rPr>
          <w:rFonts w:ascii="David" w:hAnsi="David"/>
          <w:rtl/>
        </w:rPr>
        <w:t xml:space="preserve">021, שנה שהוא כינה "כשנת החורבן". הגילוי בבית הספר גרר כאב, בלבול, </w:t>
      </w:r>
      <w:r w:rsidRPr="007D190C">
        <w:rPr>
          <w:rFonts w:ascii="David" w:hAnsi="David"/>
          <w:rtl/>
        </w:rPr>
        <w:tab/>
        <w:t xml:space="preserve">תחושות אשמה, אין אונים, בכי ללא הפסק וחוסר רצון להגיע לבית הספר. התקופה </w:t>
      </w:r>
      <w:r w:rsidRPr="007D190C">
        <w:rPr>
          <w:rFonts w:ascii="David" w:hAnsi="David"/>
          <w:rtl/>
        </w:rPr>
        <w:tab/>
        <w:t xml:space="preserve">השלישית היא הנוכחית, כאשר בחודשיים האחרונים יש תחושה זהירה ש.ב מתחילה </w:t>
      </w:r>
      <w:r w:rsidRPr="007D190C">
        <w:rPr>
          <w:rFonts w:ascii="David" w:hAnsi="David"/>
          <w:rtl/>
        </w:rPr>
        <w:tab/>
        <w:t xml:space="preserve">לחזור לשגרה. הדרך עוד ארוכה, אך אביה של ב.ב </w:t>
      </w:r>
      <w:r w:rsidRPr="007D190C">
        <w:rPr>
          <w:rFonts w:ascii="David" w:hAnsi="David"/>
          <w:rtl/>
        </w:rPr>
        <w:t xml:space="preserve">ביטא תקווה שיהא בה הכוח להמשיך </w:t>
      </w:r>
      <w:r w:rsidRPr="007D190C">
        <w:rPr>
          <w:rFonts w:ascii="David" w:hAnsi="David"/>
          <w:rtl/>
        </w:rPr>
        <w:tab/>
        <w:t xml:space="preserve">בהליך החיובי ולהשתקם הוא ביטא רצון שבית המשפט יסייע בהליך זה בדרך של הרחקת </w:t>
      </w:r>
      <w:r w:rsidRPr="007D190C">
        <w:rPr>
          <w:rFonts w:ascii="David" w:hAnsi="David"/>
          <w:rtl/>
        </w:rPr>
        <w:tab/>
        <w:t xml:space="preserve">הנאשם </w:t>
      </w:r>
      <w:r w:rsidRPr="007D190C">
        <w:rPr>
          <w:rFonts w:ascii="David" w:hAnsi="David"/>
          <w:rtl/>
        </w:rPr>
        <w:tab/>
        <w:t>למאסר לתקופה ממושכת כדי להבטיח ש-ב.ב לא תתקל בו בסביבתה.</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jc w:val="both"/>
        <w:rPr>
          <w:rFonts w:ascii="David" w:hAnsi="David"/>
          <w:rtl/>
        </w:rPr>
      </w:pPr>
      <w:r w:rsidRPr="007D190C">
        <w:rPr>
          <w:rFonts w:ascii="David" w:hAnsi="David"/>
          <w:rtl/>
        </w:rPr>
        <w:t>4.4</w:t>
      </w:r>
      <w:r w:rsidRPr="007D190C">
        <w:rPr>
          <w:rFonts w:ascii="David" w:hAnsi="David"/>
          <w:rtl/>
        </w:rPr>
        <w:tab/>
      </w:r>
      <w:r w:rsidRPr="007D190C">
        <w:rPr>
          <w:rFonts w:ascii="David" w:hAnsi="David"/>
          <w:b/>
          <w:bCs/>
          <w:u w:val="single"/>
          <w:rtl/>
        </w:rPr>
        <w:t>לגבי ג.ג הנפגעת באישום השלישי</w:t>
      </w:r>
      <w:r w:rsidRPr="007D190C">
        <w:rPr>
          <w:rFonts w:ascii="David" w:hAnsi="David"/>
          <w:rtl/>
        </w:rPr>
        <w:t>:</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jc w:val="both"/>
        <w:rPr>
          <w:rFonts w:ascii="David" w:hAnsi="David"/>
          <w:rtl/>
        </w:rPr>
      </w:pPr>
      <w:r w:rsidRPr="007D190C">
        <w:rPr>
          <w:rFonts w:ascii="David" w:hAnsi="David"/>
          <w:rtl/>
        </w:rPr>
        <w:lastRenderedPageBreak/>
        <w:t>4.4.1</w:t>
      </w:r>
      <w:r w:rsidRPr="007D190C">
        <w:rPr>
          <w:rFonts w:ascii="David" w:hAnsi="David"/>
          <w:rtl/>
        </w:rPr>
        <w:tab/>
      </w:r>
      <w:r w:rsidRPr="007D190C">
        <w:rPr>
          <w:rFonts w:ascii="David" w:hAnsi="David"/>
          <w:u w:val="single"/>
          <w:rtl/>
        </w:rPr>
        <w:t>מתוך התסקיר בקצרה</w:t>
      </w:r>
      <w:r w:rsidRPr="007D190C">
        <w:rPr>
          <w:rFonts w:ascii="David" w:hAnsi="David"/>
          <w:rtl/>
        </w:rPr>
        <w:t xml:space="preserve">: </w:t>
      </w:r>
      <w:r w:rsidRPr="007D190C">
        <w:rPr>
          <w:rFonts w:ascii="David" w:hAnsi="David" w:hint="cs"/>
          <w:b/>
          <w:bCs/>
          <w:rtl/>
        </w:rPr>
        <w:t>הושמט</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jc w:val="both"/>
        <w:rPr>
          <w:rFonts w:ascii="David" w:hAnsi="David"/>
          <w:rtl/>
        </w:rPr>
      </w:pPr>
      <w:r w:rsidRPr="007D190C">
        <w:rPr>
          <w:rFonts w:ascii="David" w:hAnsi="David"/>
          <w:rtl/>
        </w:rPr>
        <w:t>4.4.2</w:t>
      </w:r>
      <w:r w:rsidRPr="007D190C">
        <w:rPr>
          <w:rFonts w:ascii="David" w:hAnsi="David"/>
          <w:rtl/>
        </w:rPr>
        <w:tab/>
      </w:r>
      <w:r w:rsidRPr="007D190C">
        <w:rPr>
          <w:rFonts w:ascii="David" w:hAnsi="David"/>
          <w:u w:val="single"/>
          <w:rtl/>
        </w:rPr>
        <w:t>מדברי ג.ג</w:t>
      </w:r>
      <w:r w:rsidRPr="007D190C">
        <w:rPr>
          <w:rFonts w:ascii="David" w:hAnsi="David"/>
          <w:u w:val="single"/>
          <w:rtl/>
        </w:rPr>
        <w:t xml:space="preserve"> בעדות לעונש</w:t>
      </w:r>
      <w:r w:rsidRPr="007D190C">
        <w:rPr>
          <w:rFonts w:ascii="David" w:hAnsi="David"/>
          <w:rtl/>
        </w:rPr>
        <w:t xml:space="preserve">: ג.ג תיארה מציאות קודרת באשר להתנהלות מינית אצל בני נוער, </w:t>
      </w:r>
      <w:r w:rsidRPr="007D190C">
        <w:rPr>
          <w:rFonts w:ascii="David" w:hAnsi="David"/>
          <w:rtl/>
        </w:rPr>
        <w:tab/>
        <w:t xml:space="preserve">כאשר לדבריה רבות מחברותיה היו קורבנות לתקיפה מינית מצד אחד חבריהן או בני זוגן, </w:t>
      </w:r>
      <w:r w:rsidRPr="007D190C">
        <w:rPr>
          <w:rFonts w:ascii="David" w:hAnsi="David"/>
          <w:rtl/>
        </w:rPr>
        <w:tab/>
        <w:t xml:space="preserve">אלא שבמקום לעשות מעשה כדי לשנות, כל אחת התמודדה בעצמה יחד עם חברותיה. </w:t>
      </w:r>
      <w:r w:rsidRPr="007D190C">
        <w:rPr>
          <w:rFonts w:ascii="David" w:hAnsi="David"/>
          <w:rtl/>
        </w:rPr>
        <w:tab/>
        <w:t>במקביל, ג.ג תיארה את מחיר החשיפה.</w:t>
      </w:r>
      <w:r w:rsidRPr="007D190C">
        <w:rPr>
          <w:rFonts w:ascii="David" w:hAnsi="David"/>
          <w:rtl/>
        </w:rPr>
        <w:t xml:space="preserve"> לאחר שהמקרה "התפוצץ" בתקשורת, כל מה </w:t>
      </w:r>
      <w:r w:rsidRPr="007D190C">
        <w:rPr>
          <w:rFonts w:ascii="David" w:hAnsi="David"/>
          <w:rtl/>
        </w:rPr>
        <w:tab/>
        <w:t xml:space="preserve">ששמעה בבית הספר, ממכרים ומחברים היה סביב המקרה. הוא הפך לשיח יומיומי </w:t>
      </w:r>
      <w:r w:rsidRPr="007D190C">
        <w:rPr>
          <w:rFonts w:ascii="David" w:hAnsi="David"/>
          <w:rtl/>
        </w:rPr>
        <w:tab/>
        <w:t xml:space="preserve">בסביבתה. לדבריה, מה שהנאשם עשה לה ולחבורותיה היו החלטות של אדם חושב ואין </w:t>
      </w:r>
      <w:r w:rsidRPr="007D190C">
        <w:rPr>
          <w:rFonts w:ascii="David" w:hAnsi="David"/>
          <w:rtl/>
        </w:rPr>
        <w:tab/>
        <w:t xml:space="preserve">לראות בהן טעות של נער שלא הבין. לדבריה, הנאשם הבין היטב שלפניו נערה תמימה </w:t>
      </w:r>
      <w:r w:rsidRPr="007D190C">
        <w:rPr>
          <w:rFonts w:ascii="David" w:hAnsi="David"/>
          <w:rtl/>
        </w:rPr>
        <w:tab/>
        <w:t xml:space="preserve">שהנשיקה עמו הייתה נשיקה ראשונה שלה. הנאשם לא פספס את תמימותה ואת היותה </w:t>
      </w:r>
      <w:r w:rsidRPr="007D190C">
        <w:rPr>
          <w:rFonts w:ascii="David" w:hAnsi="David"/>
          <w:rtl/>
        </w:rPr>
        <w:tab/>
        <w:t xml:space="preserve">טרף ובאופן מניפולטיבי ניצל זאת לצרכיו. ג.ג עתרה להבעת מסר עונשי כזה שירתיע </w:t>
      </w:r>
      <w:r w:rsidRPr="007D190C">
        <w:rPr>
          <w:rFonts w:ascii="David" w:hAnsi="David"/>
          <w:rtl/>
        </w:rPr>
        <w:tab/>
        <w:t xml:space="preserve">אחרים, </w:t>
      </w:r>
      <w:r w:rsidRPr="007D190C">
        <w:rPr>
          <w:rFonts w:ascii="David" w:hAnsi="David"/>
          <w:rtl/>
        </w:rPr>
        <w:tab/>
        <w:t>שבנים יידעו שמעשיהם לא יוכלו להתפרש עוד "כטעות" שניתן לסלוח עליה.</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jc w:val="both"/>
        <w:rPr>
          <w:rFonts w:ascii="David" w:hAnsi="David"/>
          <w:rtl/>
        </w:rPr>
      </w:pPr>
      <w:r w:rsidRPr="007D190C">
        <w:rPr>
          <w:rFonts w:ascii="David" w:hAnsi="David"/>
          <w:rtl/>
        </w:rPr>
        <w:t>4.4.3</w:t>
      </w:r>
      <w:r w:rsidRPr="007D190C">
        <w:rPr>
          <w:rFonts w:ascii="David" w:hAnsi="David"/>
          <w:rtl/>
        </w:rPr>
        <w:tab/>
      </w:r>
      <w:r w:rsidRPr="007D190C">
        <w:rPr>
          <w:rFonts w:ascii="David" w:hAnsi="David"/>
          <w:u w:val="single"/>
          <w:rtl/>
        </w:rPr>
        <w:t>מדברי אמה של ג.ג</w:t>
      </w:r>
      <w:r w:rsidRPr="007D190C">
        <w:rPr>
          <w:rFonts w:ascii="David" w:hAnsi="David"/>
          <w:rtl/>
        </w:rPr>
        <w:t xml:space="preserve">: אמה של ג.ג ביטאה בצורה נרגשת את הטלטלה שעברה המשפחה </w:t>
      </w:r>
      <w:r w:rsidRPr="007D190C">
        <w:rPr>
          <w:rFonts w:ascii="David" w:hAnsi="David"/>
          <w:rtl/>
        </w:rPr>
        <w:tab/>
        <w:t xml:space="preserve">בעקבות האירוע, את חוסר האונים שחשה על כך שנכשלה כביכול לזהות את אותות </w:t>
      </w:r>
      <w:r w:rsidRPr="007D190C">
        <w:rPr>
          <w:rFonts w:ascii="David" w:hAnsi="David"/>
          <w:rtl/>
        </w:rPr>
        <w:tab/>
        <w:t xml:space="preserve">המצוקה ששידרה בתה. היא הביעה ספקנות לגבי כוונות הנאשם להשתקם ואף הסתייגות </w:t>
      </w:r>
      <w:r w:rsidRPr="007D190C">
        <w:rPr>
          <w:rFonts w:ascii="David" w:hAnsi="David"/>
          <w:rtl/>
        </w:rPr>
        <w:tab/>
        <w:t>מהערך בשיקומו בהינתן העדר השיקום של הנפגעות, וביטאה משא</w:t>
      </w:r>
      <w:r w:rsidRPr="007D190C">
        <w:rPr>
          <w:rFonts w:ascii="David" w:hAnsi="David"/>
          <w:rtl/>
        </w:rPr>
        <w:t xml:space="preserve">לה להטלת עונש כבד, </w:t>
      </w:r>
      <w:r w:rsidRPr="007D190C">
        <w:rPr>
          <w:rFonts w:ascii="David" w:hAnsi="David"/>
          <w:rtl/>
        </w:rPr>
        <w:tab/>
        <w:t>למען יראו וייראו.</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jc w:val="both"/>
        <w:rPr>
          <w:rFonts w:ascii="David" w:hAnsi="David"/>
          <w:rtl/>
        </w:rPr>
      </w:pPr>
      <w:r w:rsidRPr="007D190C">
        <w:rPr>
          <w:rFonts w:ascii="David" w:hAnsi="David"/>
          <w:rtl/>
        </w:rPr>
        <w:t>4.5</w:t>
      </w:r>
      <w:r w:rsidRPr="007D190C">
        <w:rPr>
          <w:rFonts w:ascii="David" w:hAnsi="David"/>
          <w:rtl/>
        </w:rPr>
        <w:tab/>
      </w:r>
      <w:r w:rsidRPr="007D190C">
        <w:rPr>
          <w:rFonts w:ascii="David" w:hAnsi="David"/>
          <w:b/>
          <w:bCs/>
          <w:u w:val="single"/>
          <w:rtl/>
        </w:rPr>
        <w:t>לגבי ד.ד הנפגעת באישום הרביעי:</w:t>
      </w:r>
    </w:p>
    <w:p w:rsidR="007D190C" w:rsidRPr="007D190C" w:rsidRDefault="007D190C" w:rsidP="007D190C">
      <w:pPr>
        <w:spacing w:line="360" w:lineRule="auto"/>
        <w:jc w:val="both"/>
        <w:rPr>
          <w:rFonts w:ascii="David" w:hAnsi="David"/>
          <w:rtl/>
        </w:rPr>
      </w:pPr>
    </w:p>
    <w:p w:rsidR="007D190C" w:rsidRDefault="00DE4D55" w:rsidP="007D190C">
      <w:pPr>
        <w:spacing w:line="360" w:lineRule="auto"/>
        <w:jc w:val="both"/>
        <w:rPr>
          <w:rFonts w:ascii="David" w:hAnsi="David"/>
          <w:rtl/>
        </w:rPr>
      </w:pPr>
      <w:r w:rsidRPr="007D190C">
        <w:rPr>
          <w:rFonts w:ascii="David" w:hAnsi="David"/>
          <w:rtl/>
        </w:rPr>
        <w:t>4.5.1</w:t>
      </w:r>
      <w:r w:rsidRPr="007D190C">
        <w:rPr>
          <w:rFonts w:ascii="David" w:hAnsi="David"/>
          <w:rtl/>
        </w:rPr>
        <w:tab/>
      </w:r>
      <w:r w:rsidRPr="007D190C">
        <w:rPr>
          <w:rFonts w:ascii="David" w:hAnsi="David"/>
          <w:u w:val="single"/>
          <w:rtl/>
        </w:rPr>
        <w:t>מן האמור בתסקיר</w:t>
      </w:r>
      <w:r w:rsidRPr="007D190C">
        <w:rPr>
          <w:rFonts w:ascii="David" w:hAnsi="David"/>
          <w:rtl/>
        </w:rPr>
        <w:t xml:space="preserve">: </w:t>
      </w:r>
      <w:r w:rsidRPr="007D190C">
        <w:rPr>
          <w:rFonts w:ascii="David" w:hAnsi="David" w:hint="cs"/>
          <w:b/>
          <w:bCs/>
          <w:rtl/>
        </w:rPr>
        <w:t xml:space="preserve">הושמט </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jc w:val="both"/>
        <w:rPr>
          <w:rFonts w:ascii="David" w:hAnsi="David"/>
          <w:rtl/>
        </w:rPr>
      </w:pPr>
      <w:r w:rsidRPr="007D190C">
        <w:rPr>
          <w:rFonts w:ascii="David" w:hAnsi="David"/>
          <w:rtl/>
        </w:rPr>
        <w:t>4.5.2</w:t>
      </w:r>
      <w:r w:rsidRPr="007D190C">
        <w:rPr>
          <w:rFonts w:ascii="David" w:hAnsi="David"/>
          <w:rtl/>
        </w:rPr>
        <w:tab/>
      </w:r>
      <w:r w:rsidRPr="007D190C">
        <w:rPr>
          <w:rFonts w:ascii="David" w:hAnsi="David"/>
          <w:u w:val="single"/>
          <w:rtl/>
        </w:rPr>
        <w:t>מתוך עדותה של ד.ד</w:t>
      </w:r>
      <w:r w:rsidRPr="007D190C">
        <w:rPr>
          <w:rFonts w:ascii="David" w:hAnsi="David"/>
          <w:rtl/>
        </w:rPr>
        <w:t xml:space="preserve">: ד.ד הדגישה שבעת קרות המקרה לא היה לה עם מי לחלוק, להבדיל </w:t>
      </w:r>
      <w:r w:rsidRPr="007D190C">
        <w:rPr>
          <w:rFonts w:ascii="David" w:hAnsi="David"/>
          <w:rtl/>
        </w:rPr>
        <w:tab/>
        <w:t>מהיום שהיא מלווה בחבורה של בנות שיכולות להבין את שעבר עליה. לדבריה,</w:t>
      </w:r>
      <w:r w:rsidRPr="007D190C">
        <w:rPr>
          <w:rFonts w:ascii="David" w:hAnsi="David"/>
          <w:rtl/>
        </w:rPr>
        <w:t xml:space="preserve"> מעשי </w:t>
      </w:r>
      <w:r w:rsidRPr="007D190C">
        <w:rPr>
          <w:rFonts w:ascii="David" w:hAnsi="David"/>
          <w:rtl/>
        </w:rPr>
        <w:tab/>
        <w:t>הנאשם יותירו בה פצע שריפויו תלוי, בין השאר, בסנקציה שתוטל על הנאשם.</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jc w:val="both"/>
        <w:rPr>
          <w:rFonts w:ascii="David" w:hAnsi="David"/>
          <w:rtl/>
        </w:rPr>
      </w:pPr>
      <w:r w:rsidRPr="007D190C">
        <w:rPr>
          <w:rFonts w:ascii="David" w:hAnsi="David"/>
          <w:rtl/>
        </w:rPr>
        <w:t>4.6</w:t>
      </w:r>
      <w:r w:rsidRPr="007D190C">
        <w:rPr>
          <w:rFonts w:ascii="David" w:hAnsi="David"/>
          <w:rtl/>
        </w:rPr>
        <w:tab/>
      </w:r>
      <w:r w:rsidRPr="007D190C">
        <w:rPr>
          <w:rFonts w:ascii="David" w:hAnsi="David"/>
          <w:b/>
          <w:bCs/>
          <w:u w:val="single"/>
          <w:rtl/>
        </w:rPr>
        <w:t>לגבי ו.ו המתלוננת באישום השישי:</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jc w:val="both"/>
        <w:rPr>
          <w:rFonts w:ascii="David" w:hAnsi="David"/>
        </w:rPr>
      </w:pPr>
      <w:r w:rsidRPr="007D190C">
        <w:rPr>
          <w:rFonts w:ascii="David" w:hAnsi="David"/>
          <w:rtl/>
        </w:rPr>
        <w:t>4.6.1</w:t>
      </w:r>
      <w:r w:rsidRPr="007D190C">
        <w:rPr>
          <w:rFonts w:ascii="David" w:hAnsi="David"/>
          <w:rtl/>
        </w:rPr>
        <w:tab/>
      </w:r>
      <w:r w:rsidRPr="007D190C">
        <w:rPr>
          <w:rFonts w:ascii="David" w:hAnsi="David"/>
          <w:u w:val="single"/>
          <w:rtl/>
        </w:rPr>
        <w:t>מתוך התסקיר</w:t>
      </w:r>
      <w:r w:rsidRPr="007D190C">
        <w:rPr>
          <w:rFonts w:ascii="David" w:hAnsi="David"/>
          <w:rtl/>
        </w:rPr>
        <w:t>:</w:t>
      </w:r>
      <w:r>
        <w:rPr>
          <w:rFonts w:ascii="David" w:hAnsi="David" w:hint="cs"/>
          <w:rtl/>
        </w:rPr>
        <w:t xml:space="preserve"> </w:t>
      </w:r>
      <w:r w:rsidRPr="007D190C">
        <w:rPr>
          <w:rFonts w:ascii="David" w:hAnsi="David" w:hint="cs"/>
          <w:b/>
          <w:bCs/>
          <w:rtl/>
        </w:rPr>
        <w:t>הושמט</w:t>
      </w:r>
    </w:p>
    <w:p w:rsidR="007D190C" w:rsidRPr="007D190C" w:rsidRDefault="00DE4D55" w:rsidP="007D190C">
      <w:pPr>
        <w:spacing w:line="360" w:lineRule="auto"/>
        <w:jc w:val="both"/>
        <w:rPr>
          <w:rFonts w:ascii="David" w:hAnsi="David"/>
          <w:rtl/>
        </w:rPr>
      </w:pPr>
      <w:r w:rsidRPr="007D190C">
        <w:rPr>
          <w:rFonts w:ascii="David" w:hAnsi="David"/>
          <w:rtl/>
        </w:rPr>
        <w:tab/>
      </w:r>
    </w:p>
    <w:p w:rsidR="007D190C" w:rsidRPr="007D190C" w:rsidRDefault="00DE4D55" w:rsidP="00383ABB">
      <w:pPr>
        <w:spacing w:line="360" w:lineRule="auto"/>
        <w:jc w:val="both"/>
        <w:rPr>
          <w:rFonts w:ascii="David" w:hAnsi="David"/>
          <w:rtl/>
        </w:rPr>
      </w:pPr>
      <w:r w:rsidRPr="007D190C">
        <w:rPr>
          <w:rFonts w:ascii="David" w:hAnsi="David"/>
          <w:rtl/>
        </w:rPr>
        <w:t>4.6.2</w:t>
      </w:r>
      <w:r w:rsidRPr="007D190C">
        <w:rPr>
          <w:rFonts w:ascii="David" w:hAnsi="David"/>
          <w:rtl/>
        </w:rPr>
        <w:tab/>
      </w:r>
      <w:r w:rsidRPr="007D190C">
        <w:rPr>
          <w:rFonts w:ascii="David" w:hAnsi="David"/>
          <w:u w:val="single"/>
          <w:rtl/>
        </w:rPr>
        <w:t>מתוך עדותה של ו.ו</w:t>
      </w:r>
      <w:r w:rsidRPr="007D190C">
        <w:rPr>
          <w:rFonts w:ascii="David" w:hAnsi="David"/>
          <w:rtl/>
        </w:rPr>
        <w:t xml:space="preserve">: ו.ו תיארה בפנינו את התמודדותה ואת קשייה תוך שהיא מחלקת </w:t>
      </w:r>
      <w:r w:rsidRPr="007D190C">
        <w:rPr>
          <w:rFonts w:ascii="David" w:hAnsi="David"/>
          <w:rtl/>
        </w:rPr>
        <w:tab/>
      </w:r>
      <w:r w:rsidRPr="007D190C">
        <w:rPr>
          <w:rFonts w:ascii="David" w:hAnsi="David"/>
          <w:rtl/>
        </w:rPr>
        <w:t xml:space="preserve">את התקופות בחייה ל"לפני" ו"אחרי". היא שיתפה אותנו בקטעי שירה שכתבה לאורך </w:t>
      </w:r>
      <w:r w:rsidRPr="007D190C">
        <w:rPr>
          <w:rFonts w:ascii="David" w:hAnsi="David"/>
          <w:rtl/>
        </w:rPr>
        <w:tab/>
        <w:t>השנים אשר סייעו לה להתמודד.</w:t>
      </w:r>
    </w:p>
    <w:p w:rsidR="007D190C" w:rsidRPr="007D190C" w:rsidRDefault="00DE4D55" w:rsidP="007D190C">
      <w:pPr>
        <w:spacing w:line="360" w:lineRule="auto"/>
        <w:jc w:val="both"/>
        <w:rPr>
          <w:rFonts w:ascii="David" w:hAnsi="David"/>
          <w:rtl/>
        </w:rPr>
      </w:pPr>
      <w:r w:rsidRPr="007D190C">
        <w:rPr>
          <w:rFonts w:ascii="David" w:hAnsi="David"/>
          <w:rtl/>
        </w:rPr>
        <w:lastRenderedPageBreak/>
        <w:t>5.</w:t>
      </w:r>
      <w:r w:rsidRPr="007D190C">
        <w:rPr>
          <w:rFonts w:ascii="David" w:hAnsi="David"/>
          <w:rtl/>
        </w:rPr>
        <w:tab/>
      </w:r>
      <w:r w:rsidRPr="007D190C">
        <w:rPr>
          <w:rFonts w:ascii="David" w:hAnsi="David"/>
          <w:b/>
          <w:bCs/>
          <w:u w:val="single"/>
          <w:rtl/>
        </w:rPr>
        <w:t>ראיות ההגנה לעונש</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jc w:val="both"/>
        <w:rPr>
          <w:rFonts w:ascii="David" w:hAnsi="David"/>
          <w:rtl/>
        </w:rPr>
      </w:pPr>
      <w:r w:rsidRPr="007D190C">
        <w:rPr>
          <w:rFonts w:ascii="David" w:hAnsi="David"/>
          <w:rtl/>
        </w:rPr>
        <w:t>5.1</w:t>
      </w:r>
      <w:r w:rsidRPr="007D190C">
        <w:rPr>
          <w:rFonts w:ascii="David" w:hAnsi="David"/>
          <w:rtl/>
        </w:rPr>
        <w:tab/>
      </w:r>
      <w:r w:rsidRPr="007D190C">
        <w:rPr>
          <w:rFonts w:ascii="David" w:hAnsi="David"/>
          <w:u w:val="single"/>
          <w:rtl/>
        </w:rPr>
        <w:t>תסקירי שירות מבחן לגבי הנאשם</w:t>
      </w:r>
      <w:r w:rsidRPr="007D190C">
        <w:rPr>
          <w:rFonts w:ascii="David" w:hAnsi="David"/>
          <w:rtl/>
        </w:rPr>
        <w:t>:</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jc w:val="both"/>
        <w:rPr>
          <w:rFonts w:ascii="David" w:hAnsi="David"/>
          <w:rtl/>
        </w:rPr>
      </w:pPr>
      <w:r w:rsidRPr="007D190C">
        <w:rPr>
          <w:rFonts w:ascii="David" w:hAnsi="David"/>
          <w:rtl/>
        </w:rPr>
        <w:tab/>
        <w:t>אודות הנאשם הוגשו 3 תסקירים בתאריכים 1.12.22, 15.3.23 ו-24.4.23.</w:t>
      </w:r>
    </w:p>
    <w:p w:rsidR="007D190C" w:rsidRPr="007D190C" w:rsidRDefault="00DE4D55" w:rsidP="007D190C">
      <w:pPr>
        <w:spacing w:line="360" w:lineRule="auto"/>
        <w:jc w:val="both"/>
        <w:rPr>
          <w:rFonts w:ascii="David" w:hAnsi="David"/>
          <w:rtl/>
        </w:rPr>
      </w:pPr>
      <w:r w:rsidRPr="007D190C">
        <w:rPr>
          <w:rFonts w:ascii="David" w:hAnsi="David"/>
          <w:rtl/>
        </w:rPr>
        <w:tab/>
      </w:r>
      <w:r w:rsidRPr="007D190C">
        <w:rPr>
          <w:rFonts w:ascii="David" w:hAnsi="David"/>
          <w:b/>
          <w:bCs/>
          <w:rtl/>
        </w:rPr>
        <w:t>התסקיר הראשון</w:t>
      </w:r>
      <w:r w:rsidRPr="007D190C">
        <w:rPr>
          <w:rFonts w:ascii="David" w:hAnsi="David"/>
          <w:rtl/>
        </w:rPr>
        <w:t xml:space="preserve"> סוקר את השתלבותו</w:t>
      </w:r>
      <w:r w:rsidRPr="007D190C">
        <w:rPr>
          <w:rFonts w:ascii="David" w:hAnsi="David"/>
          <w:rtl/>
        </w:rPr>
        <w:t xml:space="preserve"> של הנאשם במעון מצפה ים כחלק מצו השגחה </w:t>
      </w:r>
      <w:r w:rsidRPr="007D190C">
        <w:rPr>
          <w:rFonts w:ascii="David" w:hAnsi="David"/>
          <w:rtl/>
        </w:rPr>
        <w:tab/>
        <w:t xml:space="preserve">זמני. מבלי לפרט את תוכן התסקיר אציין בקווים כלליים שהנאשם שיתף פעולה, תואר </w:t>
      </w:r>
      <w:r w:rsidRPr="007D190C">
        <w:rPr>
          <w:rFonts w:ascii="David" w:hAnsi="David"/>
          <w:rtl/>
        </w:rPr>
        <w:tab/>
        <w:t xml:space="preserve">כממושמע בדרך כלל, בעל יכולות למידה תקינות יצר קשר טוב עם המדריך הישיר </w:t>
      </w:r>
      <w:r w:rsidRPr="007D190C">
        <w:rPr>
          <w:rFonts w:ascii="David" w:hAnsi="David"/>
          <w:rtl/>
        </w:rPr>
        <w:tab/>
        <w:t>והמרכזת ובהמשך ביטא מצב רוח ירוד וקושי רגשי כשנודע לו שהם עתידים להתח</w:t>
      </w:r>
      <w:r w:rsidRPr="007D190C">
        <w:rPr>
          <w:rFonts w:ascii="David" w:hAnsi="David"/>
          <w:rtl/>
        </w:rPr>
        <w:t xml:space="preserve">לף. הוא </w:t>
      </w:r>
      <w:r w:rsidRPr="007D190C">
        <w:rPr>
          <w:rFonts w:ascii="David" w:hAnsi="David"/>
          <w:rtl/>
        </w:rPr>
        <w:tab/>
        <w:t xml:space="preserve">הביע רצון להשתלב בהליך טיפולי, אך אגב כך ביטא לפעמים אמירות לא מותאמות. שיתוף </w:t>
      </w:r>
      <w:r w:rsidRPr="007D190C">
        <w:rPr>
          <w:rFonts w:ascii="David" w:hAnsi="David"/>
          <w:rtl/>
        </w:rPr>
        <w:tab/>
        <w:t xml:space="preserve">הפעולה </w:t>
      </w:r>
      <w:r w:rsidRPr="007D190C">
        <w:rPr>
          <w:rFonts w:ascii="David" w:hAnsi="David"/>
          <w:rtl/>
        </w:rPr>
        <w:tab/>
        <w:t xml:space="preserve">עם הוריו היה מלא. צוין בתסקיר שהנאשם עתיד להצטרף לקבוצה לפוגעים מינית </w:t>
      </w:r>
      <w:r w:rsidRPr="007D190C">
        <w:rPr>
          <w:rFonts w:ascii="David" w:hAnsi="David"/>
          <w:rtl/>
        </w:rPr>
        <w:tab/>
        <w:t>בחודשיים הקרובים ומכאן הייתה העתירה לדחייה.</w:t>
      </w:r>
    </w:p>
    <w:p w:rsidR="007D190C" w:rsidRPr="007D190C" w:rsidRDefault="00DE4D55" w:rsidP="007D190C">
      <w:pPr>
        <w:spacing w:line="360" w:lineRule="auto"/>
        <w:jc w:val="both"/>
        <w:rPr>
          <w:rFonts w:ascii="David" w:hAnsi="David"/>
          <w:rtl/>
        </w:rPr>
      </w:pPr>
      <w:r w:rsidRPr="007D190C">
        <w:rPr>
          <w:rFonts w:ascii="David" w:hAnsi="David"/>
          <w:rtl/>
        </w:rPr>
        <w:tab/>
      </w:r>
      <w:r w:rsidRPr="007D190C">
        <w:rPr>
          <w:rFonts w:ascii="David" w:hAnsi="David"/>
          <w:b/>
          <w:bCs/>
          <w:rtl/>
        </w:rPr>
        <w:t>תסקיר שני</w:t>
      </w:r>
      <w:r w:rsidRPr="007D190C">
        <w:rPr>
          <w:rFonts w:ascii="David" w:hAnsi="David"/>
          <w:rtl/>
        </w:rPr>
        <w:t xml:space="preserve"> נושא תאריך 15.3.23</w:t>
      </w:r>
      <w:r w:rsidRPr="007D190C">
        <w:rPr>
          <w:rFonts w:ascii="David" w:hAnsi="David"/>
          <w:b/>
          <w:bCs/>
          <w:rtl/>
        </w:rPr>
        <w:t xml:space="preserve"> </w:t>
      </w:r>
      <w:r w:rsidRPr="007D190C">
        <w:rPr>
          <w:rFonts w:ascii="David" w:hAnsi="David"/>
          <w:rtl/>
        </w:rPr>
        <w:t>כאשר גם הפעם לא</w:t>
      </w:r>
      <w:r w:rsidRPr="007D190C">
        <w:rPr>
          <w:rFonts w:ascii="David" w:hAnsi="David"/>
          <w:rtl/>
        </w:rPr>
        <w:t xml:space="preserve"> יכול היה עדיין שירות המבחן לגבש </w:t>
      </w:r>
      <w:r w:rsidRPr="007D190C">
        <w:rPr>
          <w:rFonts w:ascii="David" w:hAnsi="David"/>
          <w:rtl/>
        </w:rPr>
        <w:tab/>
        <w:t xml:space="preserve">המלצה סופית לאור תקופת הטיפול הקצרה שהחלה בתחילת חודש פברואר 2023. שירות </w:t>
      </w:r>
      <w:r w:rsidRPr="007D190C">
        <w:rPr>
          <w:rFonts w:ascii="David" w:hAnsi="David"/>
          <w:rtl/>
        </w:rPr>
        <w:tab/>
        <w:t xml:space="preserve">המבחן </w:t>
      </w:r>
      <w:r w:rsidRPr="007D190C">
        <w:rPr>
          <w:rFonts w:ascii="David" w:hAnsi="David"/>
          <w:rtl/>
        </w:rPr>
        <w:tab/>
        <w:t xml:space="preserve">העריך כי לפני הנאשם עומדת עוד דרך ארוכה. הודגש שהנאשם מבטא בשלב זה </w:t>
      </w:r>
      <w:r w:rsidRPr="007D190C">
        <w:rPr>
          <w:rFonts w:ascii="David" w:hAnsi="David"/>
          <w:rtl/>
        </w:rPr>
        <w:tab/>
        <w:t>ניצני תובנות להליך הטיפולי והומלץ על המשכו.</w:t>
      </w:r>
    </w:p>
    <w:p w:rsidR="007D190C" w:rsidRDefault="00DE4D55" w:rsidP="007D190C">
      <w:pPr>
        <w:spacing w:line="360" w:lineRule="auto"/>
        <w:jc w:val="both"/>
        <w:rPr>
          <w:rFonts w:ascii="David" w:hAnsi="David"/>
          <w:rtl/>
        </w:rPr>
      </w:pPr>
      <w:r w:rsidRPr="007D190C">
        <w:rPr>
          <w:rFonts w:ascii="David" w:hAnsi="David"/>
          <w:rtl/>
        </w:rPr>
        <w:tab/>
      </w:r>
      <w:r w:rsidRPr="007D190C">
        <w:rPr>
          <w:rFonts w:ascii="David" w:hAnsi="David"/>
          <w:b/>
          <w:bCs/>
          <w:rtl/>
        </w:rPr>
        <w:t>התסקיר השלישי</w:t>
      </w:r>
      <w:r w:rsidRPr="007D190C">
        <w:rPr>
          <w:rFonts w:ascii="David" w:hAnsi="David"/>
          <w:rtl/>
        </w:rPr>
        <w:t xml:space="preserve"> והאחרון שהוגש </w:t>
      </w:r>
      <w:r w:rsidRPr="007D190C">
        <w:rPr>
          <w:rFonts w:ascii="David" w:hAnsi="David"/>
          <w:rtl/>
        </w:rPr>
        <w:t xml:space="preserve">בהתאם להחלטתנו לאחר דחייה קצרה יחסית, נושא </w:t>
      </w:r>
      <w:r w:rsidRPr="007D190C">
        <w:rPr>
          <w:rFonts w:ascii="David" w:hAnsi="David"/>
          <w:rtl/>
        </w:rPr>
        <w:tab/>
        <w:t xml:space="preserve">תאריך </w:t>
      </w:r>
      <w:r w:rsidRPr="007D190C">
        <w:rPr>
          <w:rFonts w:ascii="David" w:hAnsi="David"/>
          <w:rtl/>
        </w:rPr>
        <w:tab/>
        <w:t xml:space="preserve">24.4.23. מדובר בתסקיר מפורט ומנומק שכולל סקירה מקיפה אודות הנאשם, </w:t>
      </w:r>
      <w:r w:rsidRPr="007D190C">
        <w:rPr>
          <w:rFonts w:ascii="David" w:hAnsi="David"/>
          <w:rtl/>
        </w:rPr>
        <w:tab/>
        <w:t xml:space="preserve">קורותיו, מהלך האבחון בנווה חורש, התנהלותו במצפה ים. השתלבותו בהליך הטיפולי, </w:t>
      </w:r>
      <w:r w:rsidRPr="007D190C">
        <w:rPr>
          <w:rFonts w:ascii="David" w:hAnsi="David"/>
          <w:rtl/>
        </w:rPr>
        <w:tab/>
        <w:t>חוות דעת נפשיות שהתקבלו לגביו, וכן הערכה לגבי גורמי הסיכון וה</w:t>
      </w:r>
      <w:r w:rsidRPr="007D190C">
        <w:rPr>
          <w:rFonts w:ascii="David" w:hAnsi="David"/>
          <w:rtl/>
        </w:rPr>
        <w:t xml:space="preserve">סיכוי. </w:t>
      </w:r>
      <w:r>
        <w:rPr>
          <w:rFonts w:ascii="David" w:hAnsi="David" w:hint="cs"/>
          <w:rtl/>
        </w:rPr>
        <w:t xml:space="preserve"> </w:t>
      </w:r>
    </w:p>
    <w:p w:rsidR="007D190C" w:rsidRPr="007D190C" w:rsidRDefault="00DE4D55" w:rsidP="007D190C">
      <w:pPr>
        <w:spacing w:line="360" w:lineRule="auto"/>
        <w:jc w:val="both"/>
        <w:rPr>
          <w:rFonts w:ascii="David" w:hAnsi="David"/>
          <w:b/>
          <w:bCs/>
          <w:rtl/>
        </w:rPr>
      </w:pPr>
      <w:r>
        <w:rPr>
          <w:rFonts w:ascii="David" w:hAnsi="David"/>
          <w:rtl/>
        </w:rPr>
        <w:tab/>
      </w:r>
      <w:r w:rsidRPr="007D190C">
        <w:rPr>
          <w:rFonts w:ascii="David" w:hAnsi="David" w:hint="cs"/>
          <w:b/>
          <w:bCs/>
          <w:rtl/>
        </w:rPr>
        <w:t>ההמשך הושמט</w:t>
      </w:r>
    </w:p>
    <w:p w:rsidR="007D190C" w:rsidRPr="007D190C" w:rsidRDefault="00DE4D55" w:rsidP="007D190C">
      <w:pPr>
        <w:spacing w:line="360" w:lineRule="auto"/>
        <w:jc w:val="both"/>
        <w:rPr>
          <w:rFonts w:ascii="David" w:hAnsi="David"/>
          <w:rtl/>
        </w:rPr>
      </w:pPr>
      <w:r w:rsidRPr="007D190C">
        <w:rPr>
          <w:rFonts w:ascii="David" w:hAnsi="David"/>
          <w:rtl/>
        </w:rPr>
        <w:tab/>
      </w:r>
      <w:r w:rsidRPr="007D190C">
        <w:rPr>
          <w:rFonts w:ascii="David" w:hAnsi="David"/>
          <w:u w:val="single"/>
          <w:rtl/>
        </w:rPr>
        <w:t>מבחינת גורמי סיכון</w:t>
      </w:r>
      <w:r w:rsidRPr="007D190C">
        <w:rPr>
          <w:rFonts w:ascii="David" w:hAnsi="David"/>
          <w:rtl/>
        </w:rPr>
        <w:t xml:space="preserve"> ציינה קצינת המבחן את ריבוי העבירות, חומרת העבירות, העובדה </w:t>
      </w:r>
      <w:r w:rsidRPr="007D190C">
        <w:rPr>
          <w:rFonts w:ascii="David" w:hAnsi="David"/>
          <w:rtl/>
        </w:rPr>
        <w:tab/>
        <w:t xml:space="preserve">שהנאשם טרם השלים הליך של עיבוד עבירה, ההתמודדות עם חרדה אשר מנהלת אותו </w:t>
      </w:r>
      <w:r w:rsidRPr="007D190C">
        <w:rPr>
          <w:rFonts w:ascii="David" w:hAnsi="David"/>
          <w:rtl/>
        </w:rPr>
        <w:tab/>
        <w:t>פעמים רבות, וקווי אישיותו בהתאם לאבחון ה</w:t>
      </w:r>
      <w:r>
        <w:rPr>
          <w:rFonts w:ascii="David" w:hAnsi="David" w:hint="cs"/>
          <w:rtl/>
        </w:rPr>
        <w:t>נפשי</w:t>
      </w:r>
      <w:r w:rsidRPr="007D190C">
        <w:rPr>
          <w:rFonts w:ascii="David" w:hAnsi="David"/>
          <w:rtl/>
        </w:rPr>
        <w:t>.</w:t>
      </w:r>
    </w:p>
    <w:p w:rsidR="007D190C" w:rsidRPr="007D190C" w:rsidRDefault="00DE4D55" w:rsidP="007D190C">
      <w:pPr>
        <w:spacing w:line="360" w:lineRule="auto"/>
        <w:jc w:val="both"/>
        <w:rPr>
          <w:rFonts w:ascii="David" w:hAnsi="David"/>
          <w:rtl/>
        </w:rPr>
      </w:pPr>
      <w:r w:rsidRPr="007D190C">
        <w:rPr>
          <w:rFonts w:ascii="David" w:hAnsi="David"/>
          <w:rtl/>
        </w:rPr>
        <w:tab/>
      </w:r>
      <w:r w:rsidRPr="007D190C">
        <w:rPr>
          <w:rFonts w:ascii="David" w:hAnsi="David"/>
          <w:u w:val="single"/>
          <w:rtl/>
        </w:rPr>
        <w:t>מבחינת גורמי סיכוי</w:t>
      </w:r>
      <w:r w:rsidRPr="007D190C">
        <w:rPr>
          <w:rFonts w:ascii="David" w:hAnsi="David"/>
          <w:rtl/>
        </w:rPr>
        <w:t xml:space="preserve"> ציינה קצינת המבחן</w:t>
      </w:r>
      <w:r w:rsidRPr="007D190C">
        <w:rPr>
          <w:rFonts w:ascii="David" w:hAnsi="David"/>
          <w:rtl/>
        </w:rPr>
        <w:t xml:space="preserve"> את הודייתו, העובדה שזהו מעמד משפטי ראשון, </w:t>
      </w:r>
      <w:r w:rsidRPr="007D190C">
        <w:rPr>
          <w:rFonts w:ascii="David" w:hAnsi="David"/>
          <w:rtl/>
        </w:rPr>
        <w:tab/>
        <w:t xml:space="preserve">את הנכונות שביטא ויכולת התגייסות להליך טיפולי, את העובדה שהוא מצוי כעת בקשר </w:t>
      </w:r>
      <w:r w:rsidRPr="007D190C">
        <w:rPr>
          <w:rFonts w:ascii="David" w:hAnsi="David"/>
          <w:rtl/>
        </w:rPr>
        <w:tab/>
        <w:t>טיפולי יציב ומשמעותי עם העו"ס של הקבוצה, את תפקודו התקין במסגרת, הרושם</w:t>
      </w:r>
      <w:r w:rsidRPr="007D190C">
        <w:rPr>
          <w:rFonts w:ascii="David" w:hAnsi="David"/>
          <w:rtl/>
        </w:rPr>
        <w:tab/>
        <w:t>שהמסגרת הנוכחית היא בעלת גבולות ברורים והיא מסייעת לו להתגייס לט</w:t>
      </w:r>
      <w:r w:rsidRPr="007D190C">
        <w:rPr>
          <w:rFonts w:ascii="David" w:hAnsi="David"/>
          <w:rtl/>
        </w:rPr>
        <w:t xml:space="preserve">יפול וכן את </w:t>
      </w:r>
      <w:r w:rsidRPr="007D190C">
        <w:rPr>
          <w:rFonts w:ascii="David" w:hAnsi="David"/>
          <w:rtl/>
        </w:rPr>
        <w:tab/>
        <w:t>העובדה שההורים מגויסים לטיפול.</w:t>
      </w:r>
    </w:p>
    <w:p w:rsidR="007D190C" w:rsidRPr="007D190C" w:rsidRDefault="00DE4D55" w:rsidP="007D190C">
      <w:pPr>
        <w:spacing w:line="360" w:lineRule="auto"/>
        <w:jc w:val="both"/>
        <w:rPr>
          <w:rFonts w:ascii="David" w:hAnsi="David"/>
          <w:rtl/>
        </w:rPr>
      </w:pPr>
      <w:r w:rsidRPr="007D190C">
        <w:rPr>
          <w:rFonts w:ascii="David" w:hAnsi="David"/>
          <w:rtl/>
        </w:rPr>
        <w:tab/>
        <w:t xml:space="preserve">קצינת המבחן הדגישה כי בהתאם לכל הערכות גורמי הטיפול, הנאשם זקוק להמשך </w:t>
      </w:r>
      <w:r w:rsidRPr="007D190C">
        <w:rPr>
          <w:rFonts w:ascii="David" w:hAnsi="David"/>
          <w:rtl/>
        </w:rPr>
        <w:tab/>
        <w:t xml:space="preserve">הגבולות הברורים המוצבים במעון נעול יחד עם מרחבי הטיפול והלמידה שיש שם כדי </w:t>
      </w:r>
      <w:r w:rsidRPr="007D190C">
        <w:rPr>
          <w:rFonts w:ascii="David" w:hAnsi="David"/>
          <w:rtl/>
        </w:rPr>
        <w:tab/>
        <w:t xml:space="preserve">לייצר תיקון ושינוי ולאיין מסוכנות עתידית. גורמי הטיפול העריכו כי </w:t>
      </w:r>
      <w:r w:rsidRPr="007D190C">
        <w:rPr>
          <w:rFonts w:ascii="David" w:hAnsi="David"/>
          <w:rtl/>
        </w:rPr>
        <w:t xml:space="preserve">המקום שבו מצוי </w:t>
      </w:r>
      <w:r w:rsidRPr="007D190C">
        <w:rPr>
          <w:rFonts w:ascii="David" w:hAnsi="David"/>
          <w:rtl/>
        </w:rPr>
        <w:tab/>
        <w:t>הנאשם כעת, במעון נעול מצפה ים, עונה על מכלול הצרכים הנ"ל.</w:t>
      </w:r>
    </w:p>
    <w:p w:rsidR="007D190C" w:rsidRPr="007D190C" w:rsidRDefault="00DE4D55" w:rsidP="007D190C">
      <w:pPr>
        <w:spacing w:line="360" w:lineRule="auto"/>
        <w:jc w:val="both"/>
        <w:rPr>
          <w:rFonts w:ascii="David" w:hAnsi="David"/>
          <w:rtl/>
        </w:rPr>
      </w:pPr>
      <w:r w:rsidRPr="007D190C">
        <w:rPr>
          <w:rFonts w:ascii="David" w:hAnsi="David"/>
          <w:rtl/>
        </w:rPr>
        <w:lastRenderedPageBreak/>
        <w:tab/>
        <w:t xml:space="preserve">במסגרת הערכה כוללת שנעשתה על ידי כל גורמי הטיפול הומלץ להרשיע את הנאשם </w:t>
      </w:r>
      <w:r w:rsidRPr="007D190C">
        <w:rPr>
          <w:rFonts w:ascii="David" w:hAnsi="David"/>
          <w:rtl/>
        </w:rPr>
        <w:tab/>
        <w:t xml:space="preserve">ולהטיל עליו צו מעון נעול חלף מאסר לפרק זמן של 3 שנים ותשעה חודשים (עד הגיעו לגיל </w:t>
      </w:r>
      <w:r w:rsidRPr="007D190C">
        <w:rPr>
          <w:rFonts w:ascii="David" w:hAnsi="David"/>
          <w:rtl/>
        </w:rPr>
        <w:tab/>
        <w:t xml:space="preserve">21), יחד עם מאסר על תנאי, </w:t>
      </w:r>
      <w:r w:rsidRPr="007D190C">
        <w:rPr>
          <w:rFonts w:ascii="David" w:hAnsi="David"/>
          <w:rtl/>
        </w:rPr>
        <w:t>התחייבות ופיצוי לנפגעות העבירה.</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jc w:val="both"/>
        <w:rPr>
          <w:rFonts w:ascii="David" w:hAnsi="David"/>
          <w:rtl/>
        </w:rPr>
      </w:pPr>
      <w:r w:rsidRPr="007D190C">
        <w:rPr>
          <w:rFonts w:ascii="David" w:hAnsi="David"/>
          <w:rtl/>
        </w:rPr>
        <w:t>5</w:t>
      </w:r>
      <w:r w:rsidR="00383ABB">
        <w:rPr>
          <w:rFonts w:ascii="David" w:hAnsi="David" w:hint="cs"/>
          <w:rtl/>
        </w:rPr>
        <w:t>.</w:t>
      </w:r>
      <w:r w:rsidRPr="007D190C">
        <w:rPr>
          <w:rFonts w:ascii="David" w:hAnsi="David"/>
          <w:rtl/>
        </w:rPr>
        <w:t>2</w:t>
      </w:r>
      <w:r w:rsidRPr="007D190C">
        <w:rPr>
          <w:rFonts w:ascii="David" w:hAnsi="David"/>
          <w:rtl/>
        </w:rPr>
        <w:tab/>
        <w:t xml:space="preserve">אביו ואמו של הנאשם העידו לעונש. אם הנאשם הביעה על כך שהנאשם עבר ילדות לא </w:t>
      </w:r>
      <w:r w:rsidRPr="007D190C">
        <w:rPr>
          <w:rFonts w:ascii="David" w:hAnsi="David"/>
          <w:rtl/>
        </w:rPr>
        <w:tab/>
        <w:t xml:space="preserve">קלה. בתקופת בית הספר עבר בריונות, פיתח פחדים ללכת לבד ברחוב ובאותה תקופה גם </w:t>
      </w:r>
      <w:r w:rsidRPr="007D190C">
        <w:rPr>
          <w:rFonts w:ascii="David" w:hAnsi="David"/>
          <w:rtl/>
        </w:rPr>
        <w:tab/>
        <w:t>החל לגמגם. תקופת הקורונה הפרה עוד יותר את השגרה והאיזון וטשטשה גבולו</w:t>
      </w:r>
      <w:r w:rsidRPr="007D190C">
        <w:rPr>
          <w:rFonts w:ascii="David" w:hAnsi="David"/>
          <w:rtl/>
        </w:rPr>
        <w:t xml:space="preserve">ת. </w:t>
      </w:r>
      <w:r w:rsidRPr="007D190C">
        <w:rPr>
          <w:rFonts w:ascii="David" w:hAnsi="David"/>
          <w:rtl/>
        </w:rPr>
        <w:tab/>
        <w:t xml:space="preserve">הנאשם סיגל אז התנהגויות שלא היו אופייניות לו והחל להסתובב עם ילדים שלא התאימו </w:t>
      </w:r>
      <w:r w:rsidRPr="007D190C">
        <w:rPr>
          <w:rFonts w:ascii="David" w:hAnsi="David"/>
          <w:rtl/>
        </w:rPr>
        <w:tab/>
        <w:t xml:space="preserve">לו. מאז המעצר עובר תהליך משמעותי מאוד וניכר השינוי בו. האם הדגישה את מחויבות </w:t>
      </w:r>
      <w:r w:rsidRPr="007D190C">
        <w:rPr>
          <w:rFonts w:ascii="David" w:hAnsi="David"/>
          <w:rtl/>
        </w:rPr>
        <w:tab/>
        <w:t>המשפחה לתהליך.</w:t>
      </w:r>
    </w:p>
    <w:p w:rsidR="007D190C" w:rsidRPr="007D190C" w:rsidRDefault="00DE4D55" w:rsidP="007D190C">
      <w:pPr>
        <w:spacing w:line="360" w:lineRule="auto"/>
        <w:jc w:val="both"/>
        <w:rPr>
          <w:rFonts w:ascii="David" w:hAnsi="David"/>
          <w:rtl/>
        </w:rPr>
      </w:pPr>
      <w:r w:rsidRPr="007D190C">
        <w:rPr>
          <w:rFonts w:ascii="David" w:hAnsi="David"/>
          <w:rtl/>
        </w:rPr>
        <w:tab/>
        <w:t xml:space="preserve">אביו של הנאשם ביטא בושה וזעזוע ממעשיו והתנצל בפני קורבנות העבירה. אבי הנאשם </w:t>
      </w:r>
      <w:r w:rsidRPr="007D190C">
        <w:rPr>
          <w:rFonts w:ascii="David" w:hAnsi="David"/>
          <w:rtl/>
        </w:rPr>
        <w:tab/>
      </w:r>
      <w:r w:rsidRPr="007D190C">
        <w:rPr>
          <w:rFonts w:ascii="David" w:hAnsi="David"/>
          <w:rtl/>
        </w:rPr>
        <w:t xml:space="preserve">ביטא הבנה לכך מעשי הנאשם פגעו פגיעה בלתי הפיכה בנפגעות אך אותו נאשם שפגע על </w:t>
      </w:r>
      <w:r w:rsidRPr="007D190C">
        <w:rPr>
          <w:rFonts w:ascii="David" w:hAnsi="David"/>
          <w:rtl/>
        </w:rPr>
        <w:tab/>
        <w:t xml:space="preserve">ידי הפעלת מניפולציות רגשיות, נאשם של גיל 14-15 איננו הנאשם של היום, שעבר כברת </w:t>
      </w:r>
      <w:r w:rsidRPr="007D190C">
        <w:rPr>
          <w:rFonts w:ascii="David" w:hAnsi="David"/>
          <w:rtl/>
        </w:rPr>
        <w:tab/>
        <w:t>דרך טיפולית מאז.</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jc w:val="both"/>
        <w:rPr>
          <w:rFonts w:ascii="David" w:hAnsi="David"/>
          <w:rtl/>
        </w:rPr>
      </w:pPr>
      <w:r w:rsidRPr="007D190C">
        <w:rPr>
          <w:rFonts w:ascii="David" w:hAnsi="David"/>
          <w:rtl/>
        </w:rPr>
        <w:t>5.3</w:t>
      </w:r>
      <w:r w:rsidRPr="007D190C">
        <w:rPr>
          <w:rFonts w:ascii="David" w:hAnsi="David"/>
          <w:rtl/>
        </w:rPr>
        <w:tab/>
        <w:t>כהשלמה לתסקיר הסבירה קצינת המבחן גב'</w:t>
      </w:r>
      <w:r w:rsidRPr="007D190C">
        <w:rPr>
          <w:rFonts w:ascii="David" w:hAnsi="David"/>
          <w:b/>
          <w:bCs/>
          <w:rtl/>
        </w:rPr>
        <w:t xml:space="preserve"> תמר יצחקי</w:t>
      </w:r>
      <w:r w:rsidRPr="007D190C">
        <w:rPr>
          <w:rFonts w:ascii="David" w:hAnsi="David"/>
          <w:rtl/>
        </w:rPr>
        <w:t xml:space="preserve"> כי האיחור בשילוב הנאשם </w:t>
      </w:r>
      <w:r w:rsidRPr="007D190C">
        <w:rPr>
          <w:rFonts w:ascii="David" w:hAnsi="David"/>
          <w:rtl/>
        </w:rPr>
        <w:tab/>
        <w:t>בהליך ט</w:t>
      </w:r>
      <w:r w:rsidRPr="007D190C">
        <w:rPr>
          <w:rFonts w:ascii="David" w:hAnsi="David"/>
          <w:rtl/>
        </w:rPr>
        <w:t xml:space="preserve">יפולי היה בין השאר פועל יוצא של מצבו הנפשי וטיפול תרופתי שקיבל. הדגישה </w:t>
      </w:r>
      <w:r w:rsidRPr="007D190C">
        <w:rPr>
          <w:rFonts w:ascii="David" w:hAnsi="David"/>
          <w:rtl/>
        </w:rPr>
        <w:tab/>
        <w:t xml:space="preserve">כי ההמלצות שהתקבלו גובשו בפורום הרחב ביותר האפשרי כולל בשיתוף המפקחת ארצית </w:t>
      </w:r>
      <w:r w:rsidRPr="007D190C">
        <w:rPr>
          <w:rFonts w:ascii="David" w:hAnsi="David"/>
          <w:rtl/>
        </w:rPr>
        <w:tab/>
        <w:t>של שירות המבחן.</w:t>
      </w:r>
    </w:p>
    <w:p w:rsidR="007D190C" w:rsidRPr="007D190C" w:rsidRDefault="007D190C" w:rsidP="007D190C">
      <w:pPr>
        <w:spacing w:line="360" w:lineRule="auto"/>
        <w:jc w:val="both"/>
        <w:rPr>
          <w:rFonts w:ascii="David" w:hAnsi="David"/>
          <w:rtl/>
        </w:rPr>
      </w:pPr>
    </w:p>
    <w:p w:rsidR="007D190C" w:rsidRDefault="00DE4D55" w:rsidP="007D190C">
      <w:pPr>
        <w:spacing w:line="360" w:lineRule="auto"/>
        <w:jc w:val="both"/>
        <w:rPr>
          <w:rFonts w:ascii="David" w:hAnsi="David"/>
          <w:u w:val="single"/>
          <w:rtl/>
        </w:rPr>
      </w:pPr>
      <w:r w:rsidRPr="007D190C">
        <w:rPr>
          <w:rFonts w:ascii="David" w:hAnsi="David"/>
          <w:rtl/>
        </w:rPr>
        <w:t>5.4</w:t>
      </w:r>
      <w:r w:rsidRPr="007D190C">
        <w:rPr>
          <w:rFonts w:ascii="David" w:hAnsi="David"/>
          <w:rtl/>
        </w:rPr>
        <w:tab/>
        <w:t xml:space="preserve">מר </w:t>
      </w:r>
      <w:r w:rsidRPr="007D190C">
        <w:rPr>
          <w:rFonts w:ascii="David" w:hAnsi="David"/>
          <w:b/>
          <w:bCs/>
          <w:rtl/>
        </w:rPr>
        <w:t>אשרי בראל</w:t>
      </w:r>
      <w:r w:rsidRPr="007D190C">
        <w:rPr>
          <w:rFonts w:ascii="David" w:hAnsi="David"/>
          <w:rtl/>
        </w:rPr>
        <w:t xml:space="preserve"> מנהל מעון מצפה ים פרט את ההליכים במעון הנעול, הסביר את הרצינות </w:t>
      </w:r>
      <w:r w:rsidRPr="007D190C">
        <w:rPr>
          <w:rFonts w:ascii="David" w:hAnsi="David"/>
          <w:rtl/>
        </w:rPr>
        <w:tab/>
        <w:t xml:space="preserve">והמחויבות </w:t>
      </w:r>
      <w:r w:rsidRPr="007D190C">
        <w:rPr>
          <w:rFonts w:ascii="David" w:hAnsi="David"/>
          <w:rtl/>
        </w:rPr>
        <w:t xml:space="preserve">של המעון להליך הטיפולי כדי להבטיח ככל שניתן את אי הישנות המעשים. </w:t>
      </w:r>
      <w:r w:rsidRPr="007D190C">
        <w:rPr>
          <w:rFonts w:ascii="David" w:hAnsi="David"/>
          <w:rtl/>
        </w:rPr>
        <w:tab/>
        <w:t xml:space="preserve">ביטא אמונה שביכולתו של המעון לפעול ולקדם זאת. הדגיש שלהערכת כל הגורמים </w:t>
      </w:r>
      <w:r w:rsidRPr="007D190C">
        <w:rPr>
          <w:rFonts w:ascii="David" w:hAnsi="David"/>
          <w:rtl/>
        </w:rPr>
        <w:tab/>
        <w:t xml:space="preserve">הטיפוליים שמלווים את הנאשם יש בו יכולת ונכונות לקחת אחריות. הערכת הגורמים </w:t>
      </w:r>
      <w:r w:rsidRPr="007D190C">
        <w:rPr>
          <w:rFonts w:ascii="David" w:hAnsi="David"/>
          <w:rtl/>
        </w:rPr>
        <w:tab/>
        <w:t>הטיפוליים היא שהרתעה וענישה לבדם לא יוכלו ל</w:t>
      </w:r>
      <w:r w:rsidRPr="007D190C">
        <w:rPr>
          <w:rFonts w:ascii="David" w:hAnsi="David"/>
          <w:rtl/>
        </w:rPr>
        <w:t xml:space="preserve">הוות גורם שלבדו יוכל לאיין מסוכנות </w:t>
      </w:r>
      <w:r w:rsidRPr="007D190C">
        <w:rPr>
          <w:rFonts w:ascii="David" w:hAnsi="David"/>
          <w:rtl/>
        </w:rPr>
        <w:tab/>
        <w:t xml:space="preserve">שהרי שומה עלינו לוודא שמתישהו, כשהנאשם יחזור לחברה, הסיכון יהיה מופחת ומאוין. </w:t>
      </w:r>
      <w:r w:rsidRPr="007D190C">
        <w:rPr>
          <w:rFonts w:ascii="David" w:hAnsi="David"/>
          <w:rtl/>
        </w:rPr>
        <w:tab/>
        <w:t>הוא הדגיש שעל פי החוק מעון נעול יכול להוות חלופה למאסר.</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jc w:val="both"/>
        <w:rPr>
          <w:rFonts w:ascii="David" w:hAnsi="David"/>
          <w:u w:val="single"/>
          <w:rtl/>
        </w:rPr>
      </w:pPr>
      <w:r w:rsidRPr="007D190C">
        <w:rPr>
          <w:rFonts w:ascii="David" w:hAnsi="David"/>
          <w:rtl/>
        </w:rPr>
        <w:t>6.</w:t>
      </w:r>
      <w:r w:rsidRPr="007D190C">
        <w:rPr>
          <w:rFonts w:ascii="David" w:hAnsi="David"/>
          <w:rtl/>
        </w:rPr>
        <w:tab/>
      </w:r>
      <w:r w:rsidRPr="007D190C">
        <w:rPr>
          <w:rFonts w:ascii="David" w:hAnsi="David"/>
          <w:b/>
          <w:bCs/>
          <w:u w:val="single"/>
          <w:rtl/>
        </w:rPr>
        <w:t>טיעוני המאשימה לעונש</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jc w:val="both"/>
        <w:rPr>
          <w:rFonts w:ascii="David" w:hAnsi="David"/>
          <w:rtl/>
        </w:rPr>
      </w:pPr>
      <w:r w:rsidRPr="007D190C">
        <w:rPr>
          <w:rFonts w:ascii="David" w:hAnsi="David"/>
          <w:rtl/>
        </w:rPr>
        <w:tab/>
        <w:t xml:space="preserve">ב"כ המאשימה טענה כי במקרה זה, על רקע המעשים החמורים שביצע </w:t>
      </w:r>
      <w:r w:rsidRPr="007D190C">
        <w:rPr>
          <w:rFonts w:ascii="David" w:hAnsi="David"/>
          <w:rtl/>
        </w:rPr>
        <w:t xml:space="preserve">הנאשם, ריבוי </w:t>
      </w:r>
      <w:r w:rsidRPr="007D190C">
        <w:rPr>
          <w:rFonts w:ascii="David" w:hAnsi="David"/>
          <w:rtl/>
        </w:rPr>
        <w:tab/>
        <w:t xml:space="preserve">המתלוננת וריבוי העבירות יש להעדיף את שיקולי הגמול וההרתעה על פני שיקולי השיקום </w:t>
      </w:r>
      <w:r w:rsidRPr="007D190C">
        <w:rPr>
          <w:rFonts w:ascii="David" w:hAnsi="David"/>
          <w:rtl/>
        </w:rPr>
        <w:tab/>
        <w:t xml:space="preserve">ולהטיל על הנאשם 6 שנות מאסר מאחורי סורג ובריח. </w:t>
      </w:r>
    </w:p>
    <w:p w:rsidR="007D190C" w:rsidRPr="007D190C" w:rsidRDefault="00DE4D55" w:rsidP="007D190C">
      <w:pPr>
        <w:spacing w:line="360" w:lineRule="auto"/>
        <w:jc w:val="both"/>
        <w:rPr>
          <w:rFonts w:ascii="David" w:hAnsi="David"/>
          <w:rtl/>
        </w:rPr>
      </w:pPr>
      <w:r w:rsidRPr="007D190C">
        <w:rPr>
          <w:rFonts w:ascii="David" w:hAnsi="David"/>
          <w:rtl/>
        </w:rPr>
        <w:lastRenderedPageBreak/>
        <w:tab/>
        <w:t xml:space="preserve">לדבריה, מדובר בהשתלשלות אירועים חריגה בחומרתה ובכיעורה. הנאשם נותן את הדין </w:t>
      </w:r>
      <w:r w:rsidRPr="007D190C">
        <w:rPr>
          <w:rFonts w:ascii="David" w:hAnsi="David"/>
          <w:rtl/>
        </w:rPr>
        <w:tab/>
        <w:t>על שישה אירועים מיניים חמורים, פוגעני</w:t>
      </w:r>
      <w:r w:rsidRPr="007D190C">
        <w:rPr>
          <w:rFonts w:ascii="David" w:hAnsi="David"/>
          <w:rtl/>
        </w:rPr>
        <w:t xml:space="preserve">ים ונבזיים, שביצע ב-6 מתלוננות קטינות בנות </w:t>
      </w:r>
      <w:r w:rsidRPr="007D190C">
        <w:rPr>
          <w:rFonts w:ascii="David" w:hAnsi="David"/>
          <w:rtl/>
        </w:rPr>
        <w:tab/>
        <w:t xml:space="preserve">13-15 הנאשם ביצע את המעשים באירועים חברתיים ובנסיבות נורמטיביות תוך שבמעשיו </w:t>
      </w:r>
      <w:r w:rsidRPr="007D190C">
        <w:rPr>
          <w:rFonts w:ascii="David" w:hAnsi="David"/>
          <w:rtl/>
        </w:rPr>
        <w:tab/>
        <w:t xml:space="preserve">גרם להן לטראומות לפגיעות נפשיות קשות. ב"כ המאשימה הפנתה לנסיבות השונות של </w:t>
      </w:r>
      <w:r w:rsidRPr="007D190C">
        <w:rPr>
          <w:rFonts w:ascii="David" w:hAnsi="David"/>
          <w:rtl/>
        </w:rPr>
        <w:tab/>
        <w:t>כל אירוע כמשתקף מכתב האישום המתוקן והדגישה את מצוקתן של הקטי</w:t>
      </w:r>
      <w:r w:rsidRPr="007D190C">
        <w:rPr>
          <w:rFonts w:ascii="David" w:hAnsi="David"/>
          <w:rtl/>
        </w:rPr>
        <w:t xml:space="preserve">נות אל מול </w:t>
      </w:r>
      <w:r w:rsidRPr="007D190C">
        <w:rPr>
          <w:rFonts w:ascii="David" w:hAnsi="David"/>
          <w:rtl/>
        </w:rPr>
        <w:tab/>
        <w:t xml:space="preserve">מעשיו של הנאשם. עוד הדגישה הפרקליטה את הלך רוחו של הנאשם ואת העובדה כי ביצע </w:t>
      </w:r>
      <w:r w:rsidRPr="007D190C">
        <w:rPr>
          <w:rFonts w:ascii="David" w:hAnsi="David"/>
          <w:rtl/>
        </w:rPr>
        <w:tab/>
        <w:t xml:space="preserve">את המעשים במניפולטיביות תוך ניצול מפגשים חברתיים תמימים, שלא במסגרת זוגית </w:t>
      </w:r>
      <w:r w:rsidRPr="007D190C">
        <w:rPr>
          <w:rFonts w:ascii="David" w:hAnsi="David"/>
          <w:rtl/>
        </w:rPr>
        <w:tab/>
        <w:t>או מערכת יחסים.</w:t>
      </w:r>
    </w:p>
    <w:p w:rsidR="007D190C" w:rsidRPr="007D190C" w:rsidRDefault="00DE4D55" w:rsidP="007D190C">
      <w:pPr>
        <w:spacing w:line="360" w:lineRule="auto"/>
        <w:jc w:val="both"/>
        <w:rPr>
          <w:rFonts w:ascii="David" w:hAnsi="David"/>
          <w:rtl/>
        </w:rPr>
      </w:pPr>
      <w:r w:rsidRPr="007D190C">
        <w:rPr>
          <w:rFonts w:ascii="David" w:hAnsi="David"/>
          <w:rtl/>
        </w:rPr>
        <w:t xml:space="preserve"> </w:t>
      </w:r>
      <w:r w:rsidRPr="007D190C">
        <w:rPr>
          <w:rFonts w:ascii="David" w:hAnsi="David"/>
          <w:rtl/>
        </w:rPr>
        <w:tab/>
        <w:t xml:space="preserve">ב"כ המאשימה הדגישה את הערכים המוגנים שנפגעו שהם כבוד האדם, שלמות הגוף </w:t>
      </w:r>
      <w:r w:rsidRPr="007D190C">
        <w:rPr>
          <w:rFonts w:ascii="David" w:hAnsi="David"/>
          <w:rtl/>
        </w:rPr>
        <w:tab/>
        <w:t>והנ</w:t>
      </w:r>
      <w:r w:rsidRPr="007D190C">
        <w:rPr>
          <w:rFonts w:ascii="David" w:hAnsi="David"/>
          <w:rtl/>
        </w:rPr>
        <w:t xml:space="preserve">פש, והאוטונומיה של המתלוננות. לשיטתה מידת הפגיעה בערכים המוגנים היא גבוהה </w:t>
      </w:r>
      <w:r w:rsidRPr="007D190C">
        <w:rPr>
          <w:rFonts w:ascii="David" w:hAnsi="David"/>
          <w:rtl/>
        </w:rPr>
        <w:tab/>
        <w:t xml:space="preserve">מאוד, והיא מתעצמת נוכח גילן הצעיר ומספרן הרב של הקרבנות. מדובר בפגיעות מיניות </w:t>
      </w:r>
      <w:r w:rsidRPr="007D190C">
        <w:rPr>
          <w:rFonts w:ascii="David" w:hAnsi="David"/>
          <w:rtl/>
        </w:rPr>
        <w:tab/>
        <w:t xml:space="preserve">קשות שיש בהן לשבש כליל ולהרוס את מרקם חייהן של הקטינות. עוד הטעימה המאשימה </w:t>
      </w:r>
      <w:r w:rsidRPr="007D190C">
        <w:rPr>
          <w:rFonts w:ascii="David" w:hAnsi="David"/>
          <w:rtl/>
        </w:rPr>
        <w:tab/>
        <w:t>כי מעבר לעובדה שמדובר במעש</w:t>
      </w:r>
      <w:r w:rsidRPr="007D190C">
        <w:rPr>
          <w:rFonts w:ascii="David" w:hAnsi="David"/>
          <w:rtl/>
        </w:rPr>
        <w:t xml:space="preserve">ים קשים, הם גם לוו לטענתה בעורמה, במניפולטיביות, </w:t>
      </w:r>
      <w:r w:rsidRPr="007D190C">
        <w:rPr>
          <w:rFonts w:ascii="David" w:hAnsi="David"/>
          <w:rtl/>
        </w:rPr>
        <w:tab/>
        <w:t>ובכוחניות.</w:t>
      </w:r>
    </w:p>
    <w:p w:rsidR="007D190C" w:rsidRPr="007D190C" w:rsidRDefault="00DE4D55" w:rsidP="007D190C">
      <w:pPr>
        <w:spacing w:line="360" w:lineRule="auto"/>
        <w:jc w:val="both"/>
        <w:rPr>
          <w:rFonts w:ascii="David" w:hAnsi="David"/>
          <w:rtl/>
        </w:rPr>
      </w:pPr>
      <w:r w:rsidRPr="007D190C">
        <w:rPr>
          <w:rFonts w:ascii="David" w:hAnsi="David"/>
          <w:rtl/>
        </w:rPr>
        <w:tab/>
        <w:t xml:space="preserve">כמו כן, הצביעה ב"כ המאשימה על העובדה ששתיקת המתלוננות אפשרה לנאשם להמשיך </w:t>
      </w:r>
      <w:r w:rsidRPr="007D190C">
        <w:rPr>
          <w:rFonts w:ascii="David" w:hAnsi="David"/>
          <w:rtl/>
        </w:rPr>
        <w:tab/>
        <w:t xml:space="preserve">במעשיו. לשיטת המאשימה, על בית המשפט לראות לנגד עינו את האינטרס שבהגנה על </w:t>
      </w:r>
      <w:r w:rsidRPr="007D190C">
        <w:rPr>
          <w:rFonts w:ascii="David" w:hAnsi="David"/>
          <w:rtl/>
        </w:rPr>
        <w:tab/>
        <w:t xml:space="preserve">המתלוננות אשר אזרו אומץ והתלוננו במשטרה, גילו </w:t>
      </w:r>
      <w:r w:rsidRPr="007D190C">
        <w:rPr>
          <w:rFonts w:ascii="David" w:hAnsi="David"/>
          <w:rtl/>
        </w:rPr>
        <w:t xml:space="preserve">את סודן העמוק חרף לחצים </w:t>
      </w:r>
      <w:r w:rsidRPr="007D190C">
        <w:rPr>
          <w:rFonts w:ascii="David" w:hAnsi="David"/>
          <w:rtl/>
        </w:rPr>
        <w:tab/>
        <w:t xml:space="preserve">חברתיים שאפפו אותן באותה עת. על כן, מדובר במקרה המצדיק כי בית המשפט יעביר </w:t>
      </w:r>
      <w:r w:rsidRPr="007D190C">
        <w:rPr>
          <w:rFonts w:ascii="David" w:hAnsi="David"/>
          <w:rtl/>
        </w:rPr>
        <w:tab/>
        <w:t xml:space="preserve">מסר חברתי ברור שבהגנה על המתלוננות. בהקשר זה הוטעם כי יש לראות בעובדה </w:t>
      </w:r>
      <w:r w:rsidRPr="007D190C">
        <w:rPr>
          <w:rFonts w:ascii="David" w:hAnsi="David"/>
          <w:rtl/>
        </w:rPr>
        <w:tab/>
        <w:t xml:space="preserve">שהעבירות בוצעו במסגרות חברתיות נורמטיביות כנסיבה לחומרה. על פי הפסיקה לא רק </w:t>
      </w:r>
      <w:r w:rsidRPr="007D190C">
        <w:rPr>
          <w:rFonts w:ascii="David" w:hAnsi="David"/>
          <w:rtl/>
        </w:rPr>
        <w:tab/>
        <w:t>"אונס הש</w:t>
      </w:r>
      <w:r w:rsidRPr="007D190C">
        <w:rPr>
          <w:rFonts w:ascii="David" w:hAnsi="David"/>
          <w:rtl/>
        </w:rPr>
        <w:t xml:space="preserve">דה" מזכה בעונש חמור, אלא גם כאשר המעשים מתבצעים בתוך מסגרות </w:t>
      </w:r>
      <w:r w:rsidRPr="007D190C">
        <w:rPr>
          <w:rFonts w:ascii="David" w:hAnsi="David"/>
          <w:rtl/>
        </w:rPr>
        <w:tab/>
        <w:t xml:space="preserve">מוכרות ובמקום הבטוח של הנפגעות, ואין לתת לנסיבות או פרשנות מקלה. לטענת ב"כ </w:t>
      </w:r>
      <w:r w:rsidRPr="007D190C">
        <w:rPr>
          <w:rFonts w:ascii="David" w:hAnsi="David"/>
          <w:rtl/>
        </w:rPr>
        <w:tab/>
        <w:t xml:space="preserve">המאשימה למרות גילו הצעיר של הנאשם, מעשיו החמורים, ריבוי המעשים והקרבנות </w:t>
      </w:r>
      <w:r w:rsidRPr="007D190C">
        <w:rPr>
          <w:rFonts w:ascii="David" w:hAnsi="David"/>
          <w:rtl/>
        </w:rPr>
        <w:tab/>
        <w:t>מעידים על היותו אדם בוגר שפעל באופן מודע, בעור</w:t>
      </w:r>
      <w:r w:rsidRPr="007D190C">
        <w:rPr>
          <w:rFonts w:ascii="David" w:hAnsi="David"/>
          <w:rtl/>
        </w:rPr>
        <w:t xml:space="preserve">מה באופן מניפולטיבי כדי להשיג את </w:t>
      </w:r>
      <w:r w:rsidRPr="007D190C">
        <w:rPr>
          <w:rFonts w:ascii="David" w:hAnsi="David"/>
          <w:rtl/>
        </w:rPr>
        <w:tab/>
        <w:t>מטרותיו.</w:t>
      </w:r>
    </w:p>
    <w:p w:rsidR="007D190C" w:rsidRPr="007D190C" w:rsidRDefault="00DE4D55" w:rsidP="007D190C">
      <w:pPr>
        <w:spacing w:line="360" w:lineRule="auto"/>
        <w:jc w:val="both"/>
        <w:rPr>
          <w:rFonts w:ascii="David" w:hAnsi="David"/>
          <w:rtl/>
        </w:rPr>
      </w:pPr>
      <w:r w:rsidRPr="007D190C">
        <w:rPr>
          <w:rFonts w:ascii="David" w:hAnsi="David"/>
          <w:rtl/>
        </w:rPr>
        <w:tab/>
        <w:t xml:space="preserve">ב"כ המאשימה הפנתה לתסקירי הנפגעות, לעדויותיהן ולעדות הוריהן בבית המשפט </w:t>
      </w:r>
      <w:r w:rsidRPr="007D190C">
        <w:rPr>
          <w:rFonts w:ascii="David" w:hAnsi="David"/>
          <w:rtl/>
        </w:rPr>
        <w:tab/>
        <w:t xml:space="preserve">החושפים לדבריה תמונה קשה ומורכבת של הנזקים שנגרמו להן ושל רצף חייהן שנקטע </w:t>
      </w:r>
      <w:r w:rsidRPr="007D190C">
        <w:rPr>
          <w:rFonts w:ascii="David" w:hAnsi="David"/>
          <w:rtl/>
        </w:rPr>
        <w:tab/>
        <w:t>בעקבות מעשי הנאשם. מדובר בפגיעה בביטחון, בתחושת השליטה, חרדות, הי</w:t>
      </w:r>
      <w:r w:rsidRPr="007D190C">
        <w:rPr>
          <w:rFonts w:ascii="David" w:hAnsi="David"/>
          <w:rtl/>
        </w:rPr>
        <w:t xml:space="preserve">עדרות מבית </w:t>
      </w:r>
      <w:r w:rsidRPr="007D190C">
        <w:rPr>
          <w:rFonts w:ascii="David" w:hAnsi="David"/>
          <w:rtl/>
        </w:rPr>
        <w:tab/>
        <w:t xml:space="preserve">הספר, תחושת אשם, התבודדות חברתית ועוד. </w:t>
      </w:r>
    </w:p>
    <w:p w:rsidR="007D190C" w:rsidRPr="007D190C" w:rsidRDefault="00DE4D55" w:rsidP="007D190C">
      <w:pPr>
        <w:spacing w:line="360" w:lineRule="auto"/>
        <w:jc w:val="both"/>
        <w:rPr>
          <w:rFonts w:ascii="David" w:hAnsi="David"/>
          <w:rtl/>
        </w:rPr>
      </w:pPr>
      <w:r w:rsidRPr="007D190C">
        <w:rPr>
          <w:rFonts w:ascii="David" w:hAnsi="David"/>
          <w:rtl/>
        </w:rPr>
        <w:tab/>
        <w:t xml:space="preserve">אשר לענישה, הטעימה המאשימה כי אכן מדובר במלאכת איזונים מורכבת, ואולם בעניינו, </w:t>
      </w:r>
      <w:r w:rsidRPr="007D190C">
        <w:rPr>
          <w:rFonts w:ascii="David" w:hAnsi="David"/>
          <w:rtl/>
        </w:rPr>
        <w:tab/>
        <w:t xml:space="preserve">למרות שמדובר בנאשם קטין, הרי שבאיזון האינטרסים בין שיקולי הגמול וההרתעה </w:t>
      </w:r>
      <w:r w:rsidRPr="007D190C">
        <w:rPr>
          <w:rFonts w:ascii="David" w:hAnsi="David"/>
          <w:rtl/>
        </w:rPr>
        <w:tab/>
        <w:t>ולשיקולי השיקום, יש להעדיף בנסיבותינו את שיקולי הגמ</w:t>
      </w:r>
      <w:r w:rsidRPr="007D190C">
        <w:rPr>
          <w:rFonts w:ascii="David" w:hAnsi="David"/>
          <w:rtl/>
        </w:rPr>
        <w:t xml:space="preserve">ול וההרתעה. לדבריה, גם </w:t>
      </w:r>
      <w:r w:rsidRPr="007D190C">
        <w:rPr>
          <w:rFonts w:ascii="David" w:hAnsi="David"/>
          <w:rtl/>
        </w:rPr>
        <w:tab/>
        <w:t xml:space="preserve">במאסר קיימות אפשרויות שיקום ואף ניתן לבצע תהליך טיפולי משמעותי. עונש מאסר, </w:t>
      </w:r>
      <w:r w:rsidRPr="007D190C">
        <w:rPr>
          <w:rFonts w:ascii="David" w:hAnsi="David"/>
          <w:rtl/>
        </w:rPr>
        <w:tab/>
        <w:t xml:space="preserve">עולה בקנה אחד גם עם הפסיקה שלפיה בעבירות מין קשות משקלו של השיקום נסוג גם </w:t>
      </w:r>
      <w:r w:rsidRPr="007D190C">
        <w:rPr>
          <w:rFonts w:ascii="David" w:hAnsi="David"/>
          <w:rtl/>
        </w:rPr>
        <w:lastRenderedPageBreak/>
        <w:tab/>
        <w:t xml:space="preserve">בנסיבות שבהן הקטין עבר הליך שיקומי מוצלח. בעניינו, על פי תסקירי שירות המבחן </w:t>
      </w:r>
      <w:r w:rsidRPr="007D190C">
        <w:rPr>
          <w:rFonts w:ascii="David" w:hAnsi="David"/>
          <w:rtl/>
        </w:rPr>
        <w:tab/>
        <w:t>בחלו</w:t>
      </w:r>
      <w:r w:rsidRPr="007D190C">
        <w:rPr>
          <w:rFonts w:ascii="David" w:hAnsi="David"/>
          <w:rtl/>
        </w:rPr>
        <w:t xml:space="preserve">ף שנה וחצי שבהן שהה הנאשם במעון נעול, התקדמותו מזערית, ובוודאי שלא ניתן </w:t>
      </w:r>
      <w:r w:rsidRPr="007D190C">
        <w:rPr>
          <w:rFonts w:ascii="David" w:hAnsi="David"/>
          <w:rtl/>
        </w:rPr>
        <w:tab/>
        <w:t xml:space="preserve">לומר כי מדובר בהליך שיקומי מוצלח. לכך יש להוסיף שעסקינן בקטין שכיום מצוי על </w:t>
      </w:r>
      <w:r w:rsidRPr="007D190C">
        <w:rPr>
          <w:rFonts w:ascii="David" w:hAnsi="David"/>
          <w:rtl/>
        </w:rPr>
        <w:tab/>
        <w:t xml:space="preserve">גבול הבגירות ובנסיבות החמורות של תיק זה אין מקום לתת משקל משמעותי לטיעון בדבר </w:t>
      </w:r>
      <w:r w:rsidRPr="007D190C">
        <w:rPr>
          <w:rFonts w:ascii="David" w:hAnsi="David"/>
          <w:rtl/>
        </w:rPr>
        <w:tab/>
        <w:t>הגנה על קטינים. בהקשר זה הפ</w:t>
      </w:r>
      <w:r w:rsidRPr="007D190C">
        <w:rPr>
          <w:rFonts w:ascii="David" w:hAnsi="David"/>
          <w:rtl/>
        </w:rPr>
        <w:t xml:space="preserve">נתה המאשימה לתסקירי שירות המבחן של הקטין מהם </w:t>
      </w:r>
      <w:r w:rsidRPr="007D190C">
        <w:rPr>
          <w:rFonts w:ascii="David" w:hAnsi="David"/>
          <w:rtl/>
        </w:rPr>
        <w:tab/>
        <w:t xml:space="preserve">עולה בין השאר כי הנאשם גדל בבית נורמטיבי, "בן טובים", המגיע מרקע סוציו אקונומי </w:t>
      </w:r>
      <w:r w:rsidRPr="007D190C">
        <w:rPr>
          <w:rFonts w:ascii="David" w:hAnsi="David"/>
          <w:rtl/>
        </w:rPr>
        <w:tab/>
        <w:t xml:space="preserve">גבוה ואינם מגלים נסיבות חיים קשות כפי שקורה לא אחת במקרים דומים. זאת ועוד, </w:t>
      </w:r>
      <w:r w:rsidRPr="007D190C">
        <w:rPr>
          <w:rFonts w:ascii="David" w:hAnsi="David"/>
          <w:rtl/>
        </w:rPr>
        <w:tab/>
        <w:t>התסקירים מלמדינו כי הנאשם זקוק לתקופת זמן ממושכת ולמסג</w:t>
      </w:r>
      <w:r w:rsidRPr="007D190C">
        <w:rPr>
          <w:rFonts w:ascii="David" w:hAnsi="David"/>
          <w:rtl/>
        </w:rPr>
        <w:t xml:space="preserve">רת מחזיקה על מנת </w:t>
      </w:r>
      <w:r w:rsidRPr="007D190C">
        <w:rPr>
          <w:rFonts w:ascii="David" w:hAnsi="David"/>
          <w:rtl/>
        </w:rPr>
        <w:tab/>
        <w:t xml:space="preserve">לערוך שינוי בדפוסי התנהגותו. </w:t>
      </w:r>
    </w:p>
    <w:p w:rsidR="007D190C" w:rsidRPr="007D190C" w:rsidRDefault="00DE4D55" w:rsidP="007D190C">
      <w:pPr>
        <w:spacing w:line="360" w:lineRule="auto"/>
        <w:jc w:val="both"/>
        <w:rPr>
          <w:rFonts w:ascii="David" w:hAnsi="David"/>
          <w:rtl/>
        </w:rPr>
      </w:pPr>
      <w:r w:rsidRPr="007D190C">
        <w:rPr>
          <w:rFonts w:ascii="David" w:hAnsi="David"/>
          <w:rtl/>
        </w:rPr>
        <w:tab/>
        <w:t xml:space="preserve">ב"כ המאשימה הדגישה כי התקשתה למצוא פסיקה הדומה למקרה שלנו. היא צירפה </w:t>
      </w:r>
      <w:r w:rsidRPr="007D190C">
        <w:rPr>
          <w:rFonts w:ascii="David" w:hAnsi="David"/>
          <w:rtl/>
        </w:rPr>
        <w:tab/>
        <w:t xml:space="preserve">לעיוננו שורה של פסקי דין שעניינם עבירות מין שבוצעו על ידי קטינים וביקשה לראות </w:t>
      </w:r>
      <w:r w:rsidRPr="007D190C">
        <w:rPr>
          <w:rFonts w:ascii="David" w:hAnsi="David"/>
          <w:rtl/>
        </w:rPr>
        <w:tab/>
        <w:t>באלה, בשינויים המחויבים, מדד לענישה ומדד להחמרה בענישה, במ</w:t>
      </w:r>
      <w:r w:rsidRPr="007D190C">
        <w:rPr>
          <w:rFonts w:ascii="David" w:hAnsi="David"/>
          <w:rtl/>
        </w:rPr>
        <w:t xml:space="preserve">יוחד בהינתן שמדובר </w:t>
      </w:r>
      <w:r w:rsidRPr="007D190C">
        <w:rPr>
          <w:rFonts w:ascii="David" w:hAnsi="David"/>
          <w:rtl/>
        </w:rPr>
        <w:tab/>
        <w:t xml:space="preserve">בריבוי אירועים וריבוי מתלוננות. על הענישה לתת ביטוי להתגברות עבירות המין בקרב </w:t>
      </w:r>
      <w:r w:rsidRPr="007D190C">
        <w:rPr>
          <w:rFonts w:ascii="David" w:hAnsi="David"/>
          <w:rtl/>
        </w:rPr>
        <w:tab/>
        <w:t xml:space="preserve">בני נוער, לרבות לעובדה כי גילם של הפוגעים הולך ויורד ומעשיהם החמורים אינם הולמים </w:t>
      </w:r>
      <w:r w:rsidRPr="007D190C">
        <w:rPr>
          <w:rFonts w:ascii="David" w:hAnsi="David"/>
          <w:rtl/>
        </w:rPr>
        <w:tab/>
        <w:t xml:space="preserve">את גילם הצעיר. לגישת המאשימה, לפנינו מקרה מובהק שבו יש להטיל על הנאשם עונש </w:t>
      </w:r>
      <w:r w:rsidRPr="007D190C">
        <w:rPr>
          <w:rFonts w:ascii="David" w:hAnsi="David"/>
          <w:rtl/>
        </w:rPr>
        <w:tab/>
        <w:t xml:space="preserve">מאסר. בהקשר זה, הצביעה המאשימה על ההבדל המהותי, כך לשיטתה, בין מעון נעול </w:t>
      </w:r>
      <w:r w:rsidRPr="007D190C">
        <w:rPr>
          <w:rFonts w:ascii="David" w:hAnsi="David"/>
          <w:rtl/>
        </w:rPr>
        <w:tab/>
        <w:t xml:space="preserve">למאסר. מעון נעול הוא בבחינת מסגרת טיפולית בלבד שיש בה גם תנועה בין החלק </w:t>
      </w:r>
      <w:r w:rsidRPr="007D190C">
        <w:rPr>
          <w:rFonts w:ascii="David" w:hAnsi="David"/>
          <w:rtl/>
        </w:rPr>
        <w:tab/>
        <w:t xml:space="preserve">הפתוח </w:t>
      </w:r>
      <w:r w:rsidRPr="007D190C">
        <w:rPr>
          <w:rFonts w:ascii="David" w:hAnsi="David"/>
          <w:rtl/>
        </w:rPr>
        <w:tab/>
        <w:t xml:space="preserve">חלק הנעול/הסגור, חופשות, והשתלבות בקבוצות. לגישתה ב"כ המאשימה כי בין מאסר </w:t>
      </w:r>
      <w:r w:rsidRPr="007D190C">
        <w:rPr>
          <w:rFonts w:ascii="David" w:hAnsi="David"/>
          <w:rtl/>
        </w:rPr>
        <w:tab/>
        <w:t>למעון נעול קיים הבדל משמעו</w:t>
      </w:r>
      <w:r w:rsidRPr="007D190C">
        <w:rPr>
          <w:rFonts w:ascii="David" w:hAnsi="David"/>
          <w:rtl/>
        </w:rPr>
        <w:t xml:space="preserve">תי באשר למסר המועבר לציבור, לנפגעות העבירה, </w:t>
      </w:r>
      <w:r w:rsidRPr="007D190C">
        <w:rPr>
          <w:rFonts w:ascii="David" w:hAnsi="David"/>
          <w:rtl/>
        </w:rPr>
        <w:tab/>
        <w:t xml:space="preserve">לנאשם ולחברה כולה. </w:t>
      </w:r>
    </w:p>
    <w:p w:rsidR="007D190C" w:rsidRPr="007D190C" w:rsidRDefault="00DE4D55" w:rsidP="007D190C">
      <w:pPr>
        <w:spacing w:line="360" w:lineRule="auto"/>
        <w:jc w:val="both"/>
        <w:rPr>
          <w:rFonts w:ascii="David" w:hAnsi="David"/>
          <w:rtl/>
        </w:rPr>
      </w:pPr>
      <w:r w:rsidRPr="007D190C">
        <w:rPr>
          <w:rFonts w:ascii="David" w:hAnsi="David"/>
          <w:rtl/>
        </w:rPr>
        <w:tab/>
        <w:t xml:space="preserve">סופו של דבר עתרה המאשימה להטיל על הנאשם 6 שנות מאסר, וזאת גם בשים לב לעונש </w:t>
      </w:r>
      <w:r w:rsidRPr="007D190C">
        <w:rPr>
          <w:rFonts w:ascii="David" w:hAnsi="David"/>
          <w:rtl/>
        </w:rPr>
        <w:tab/>
        <w:t>הפיצוי המוסכם שאינו גבוה, בצירוף מאסר על תנאי.</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jc w:val="both"/>
        <w:rPr>
          <w:rFonts w:ascii="David" w:hAnsi="David"/>
          <w:b/>
          <w:bCs/>
          <w:u w:val="single"/>
          <w:rtl/>
        </w:rPr>
      </w:pPr>
      <w:r w:rsidRPr="007D190C">
        <w:rPr>
          <w:rFonts w:ascii="David" w:hAnsi="David"/>
          <w:rtl/>
        </w:rPr>
        <w:t>7.</w:t>
      </w:r>
      <w:r w:rsidRPr="007D190C">
        <w:rPr>
          <w:rFonts w:ascii="David" w:hAnsi="David"/>
          <w:rtl/>
        </w:rPr>
        <w:tab/>
      </w:r>
      <w:r w:rsidRPr="007D190C">
        <w:rPr>
          <w:rFonts w:ascii="David" w:hAnsi="David"/>
          <w:b/>
          <w:bCs/>
          <w:u w:val="single"/>
          <w:rtl/>
        </w:rPr>
        <w:t>טיעוני ההגנה לעונש</w:t>
      </w:r>
    </w:p>
    <w:p w:rsidR="007D190C" w:rsidRPr="007D190C" w:rsidRDefault="007D190C" w:rsidP="007D190C">
      <w:pPr>
        <w:spacing w:line="360" w:lineRule="auto"/>
        <w:jc w:val="both"/>
        <w:rPr>
          <w:rFonts w:ascii="David" w:hAnsi="David"/>
          <w:b/>
          <w:bCs/>
          <w:u w:val="single"/>
          <w:rtl/>
        </w:rPr>
      </w:pPr>
    </w:p>
    <w:p w:rsidR="007D190C" w:rsidRPr="007D190C" w:rsidRDefault="00DE4D55" w:rsidP="007D190C">
      <w:pPr>
        <w:spacing w:line="360" w:lineRule="auto"/>
        <w:jc w:val="both"/>
        <w:rPr>
          <w:rFonts w:ascii="David" w:hAnsi="David"/>
          <w:rtl/>
        </w:rPr>
      </w:pPr>
      <w:r w:rsidRPr="007D190C">
        <w:rPr>
          <w:rFonts w:ascii="David" w:hAnsi="David"/>
          <w:rtl/>
        </w:rPr>
        <w:t>7.1</w:t>
      </w:r>
      <w:r w:rsidRPr="007D190C">
        <w:rPr>
          <w:rFonts w:ascii="David" w:hAnsi="David"/>
          <w:rtl/>
        </w:rPr>
        <w:tab/>
        <w:t>ההגנה עתרה לאמץ את המלצות שירות המבחן ו</w:t>
      </w:r>
      <w:r w:rsidRPr="007D190C">
        <w:rPr>
          <w:rFonts w:ascii="David" w:hAnsi="David"/>
          <w:rtl/>
        </w:rPr>
        <w:t xml:space="preserve">להשית על הנאשם צו מעון נעול חלף </w:t>
      </w:r>
      <w:r w:rsidRPr="007D190C">
        <w:rPr>
          <w:rFonts w:ascii="David" w:hAnsi="David"/>
          <w:rtl/>
        </w:rPr>
        <w:tab/>
        <w:t xml:space="preserve">מאסר, כך שישלים 4.5 שנים של טיפול במעון נעול. ב"כ הנאשם הטעים בטיעוניו כי על </w:t>
      </w:r>
      <w:r w:rsidRPr="007D190C">
        <w:rPr>
          <w:rFonts w:ascii="David" w:hAnsi="David"/>
          <w:rtl/>
        </w:rPr>
        <w:tab/>
        <w:t xml:space="preserve">בית המשפט בתיק זה לערוך מלאכת איזונים מורכבת, בין כאבן של המתלוננת למצבו </w:t>
      </w:r>
      <w:r w:rsidRPr="007D190C">
        <w:rPr>
          <w:rFonts w:ascii="David" w:hAnsi="David"/>
          <w:rtl/>
        </w:rPr>
        <w:tab/>
        <w:t>של הקטין אשר הודה ולקח אחריות. בטיעוניו ביטא ב"כ נאשם הכרה רבה לכאבן של</w:t>
      </w:r>
      <w:r w:rsidRPr="007D190C">
        <w:rPr>
          <w:rFonts w:ascii="David" w:hAnsi="David"/>
          <w:rtl/>
        </w:rPr>
        <w:t xml:space="preserve"> </w:t>
      </w:r>
      <w:r w:rsidRPr="007D190C">
        <w:rPr>
          <w:rFonts w:ascii="David" w:hAnsi="David"/>
          <w:rtl/>
        </w:rPr>
        <w:tab/>
        <w:t xml:space="preserve">המתלוננות מצד אחד, ומנגד הדגיש את לקיחת האחריות של הנאשם, ואת העובדה שנמנע </w:t>
      </w:r>
      <w:r w:rsidRPr="007D190C">
        <w:rPr>
          <w:rFonts w:ascii="David" w:hAnsi="David"/>
          <w:rtl/>
        </w:rPr>
        <w:tab/>
        <w:t xml:space="preserve">במתכוון, לאורך </w:t>
      </w:r>
      <w:r w:rsidRPr="007D190C">
        <w:rPr>
          <w:rFonts w:ascii="David" w:hAnsi="David"/>
          <w:rtl/>
        </w:rPr>
        <w:tab/>
        <w:t xml:space="preserve">ההליך להציב מחלוקת עובדתית בנוגע לטיב האירועים ולהתנהגות </w:t>
      </w:r>
      <w:r w:rsidRPr="007D190C">
        <w:rPr>
          <w:rFonts w:ascii="David" w:hAnsi="David"/>
          <w:rtl/>
        </w:rPr>
        <w:tab/>
        <w:t xml:space="preserve">הנפגעות עצמן. לדבריו, יש להביא בחשבון את הודאתו המלאה בהתייחס לכל המתלוננות </w:t>
      </w:r>
      <w:r w:rsidRPr="007D190C">
        <w:rPr>
          <w:rFonts w:ascii="David" w:hAnsi="David"/>
          <w:rtl/>
        </w:rPr>
        <w:tab/>
        <w:t>שבכתב האישום מבלי לעשות דיפ</w:t>
      </w:r>
      <w:r w:rsidRPr="007D190C">
        <w:rPr>
          <w:rFonts w:ascii="David" w:hAnsi="David"/>
          <w:rtl/>
        </w:rPr>
        <w:t xml:space="preserve">רנציאציה ביניהן או לבקש למחוק מי מהן מכתב האישום </w:t>
      </w:r>
      <w:r w:rsidRPr="007D190C">
        <w:rPr>
          <w:rFonts w:ascii="David" w:hAnsi="David"/>
          <w:rtl/>
        </w:rPr>
        <w:lastRenderedPageBreak/>
        <w:tab/>
        <w:t xml:space="preserve">כחלק מהסדר הטיעון. הקו שהנחה את ההגנה היה שמי שאזרה עוז ואומץ להתלונן </w:t>
      </w:r>
      <w:r w:rsidRPr="007D190C">
        <w:rPr>
          <w:rFonts w:ascii="David" w:hAnsi="David"/>
          <w:rtl/>
        </w:rPr>
        <w:tab/>
        <w:t xml:space="preserve">במשטרה, ראוי לה שעניינה ימצא ביטוי בכתב האישום. </w:t>
      </w:r>
    </w:p>
    <w:p w:rsidR="007D190C" w:rsidRPr="007D190C" w:rsidRDefault="00DE4D55" w:rsidP="007D190C">
      <w:pPr>
        <w:spacing w:line="360" w:lineRule="auto"/>
        <w:jc w:val="both"/>
        <w:rPr>
          <w:rFonts w:ascii="David" w:hAnsi="David"/>
          <w:rtl/>
        </w:rPr>
      </w:pPr>
      <w:r w:rsidRPr="007D190C">
        <w:rPr>
          <w:rFonts w:ascii="David" w:hAnsi="David"/>
          <w:rtl/>
        </w:rPr>
        <w:tab/>
        <w:t xml:space="preserve">ב"כ הנאשם הטעים כי העונש שלו עותרת המאשימה הוא מופרז מאד ומתעלם מלקיחת </w:t>
      </w:r>
      <w:r w:rsidRPr="007D190C">
        <w:rPr>
          <w:rFonts w:ascii="David" w:hAnsi="David"/>
          <w:rtl/>
        </w:rPr>
        <w:tab/>
        <w:t>האחריות של הנ</w:t>
      </w:r>
      <w:r w:rsidRPr="007D190C">
        <w:rPr>
          <w:rFonts w:ascii="David" w:hAnsi="David"/>
          <w:rtl/>
        </w:rPr>
        <w:t xml:space="preserve">אשם. ב"כ הנאשם הדגיש שההגנה איננה חולקת בשאלת ההרשעה, זאת </w:t>
      </w:r>
      <w:r w:rsidRPr="007D190C">
        <w:rPr>
          <w:rFonts w:ascii="David" w:hAnsi="David"/>
          <w:rtl/>
        </w:rPr>
        <w:tab/>
        <w:t xml:space="preserve">בהלימה לכלל שקטינות איננה מקנה חסינות. יחד עם זאת, להודיית הנאשם וללקיחת </w:t>
      </w:r>
      <w:r w:rsidRPr="007D190C">
        <w:rPr>
          <w:rFonts w:ascii="David" w:hAnsi="David"/>
          <w:rtl/>
        </w:rPr>
        <w:tab/>
        <w:t xml:space="preserve">האחריות יש לתת את המשקל ההולם לצורך העונש ואין להתעלם מהן. כאבן של </w:t>
      </w:r>
      <w:r w:rsidRPr="007D190C">
        <w:rPr>
          <w:rFonts w:ascii="David" w:hAnsi="David"/>
          <w:rtl/>
        </w:rPr>
        <w:tab/>
        <w:t>המתלוננת אכן אמור לעמוד לנגד עיני בית המשפט אך הוא איננ</w:t>
      </w:r>
      <w:r w:rsidRPr="007D190C">
        <w:rPr>
          <w:rFonts w:ascii="David" w:hAnsi="David"/>
          <w:rtl/>
        </w:rPr>
        <w:t xml:space="preserve">ו חזות הכל ואיננו יכול </w:t>
      </w:r>
      <w:r w:rsidRPr="007D190C">
        <w:rPr>
          <w:rFonts w:ascii="David" w:hAnsi="David"/>
          <w:rtl/>
        </w:rPr>
        <w:tab/>
        <w:t xml:space="preserve">להוות מדד יחיד לענישה. זאת ועוד, אין לשכוח שלא התנהלו הוכחות ונחסך מהמתלוננות </w:t>
      </w:r>
      <w:r w:rsidRPr="007D190C">
        <w:rPr>
          <w:rFonts w:ascii="David" w:hAnsi="David"/>
          <w:rtl/>
        </w:rPr>
        <w:tab/>
        <w:t xml:space="preserve">סבל נוסף שהוא חמור לאין שיעור. עובדה זו יש לזקוף לזכות הנאשם והיא חייבת לבוא </w:t>
      </w:r>
      <w:r w:rsidRPr="007D190C">
        <w:rPr>
          <w:rFonts w:ascii="David" w:hAnsi="David"/>
          <w:rtl/>
        </w:rPr>
        <w:tab/>
        <w:t xml:space="preserve">לידי ביטוי בענישה. זאת ועוד אין להתעלם מהעובדה שהנאשם עדין קטין, וכי במועד </w:t>
      </w:r>
      <w:r w:rsidRPr="007D190C">
        <w:rPr>
          <w:rFonts w:ascii="David" w:hAnsi="David"/>
          <w:rtl/>
        </w:rPr>
        <w:t xml:space="preserve">ביצוע </w:t>
      </w:r>
      <w:r w:rsidRPr="007D190C">
        <w:rPr>
          <w:rFonts w:ascii="David" w:hAnsi="David"/>
          <w:rtl/>
        </w:rPr>
        <w:tab/>
        <w:t xml:space="preserve">העבירות היה עול ימים, רק בן 13-15 שנים. כמו כן יש להתחשב בעובדה שחלק מהעבירות </w:t>
      </w:r>
      <w:r w:rsidRPr="007D190C">
        <w:rPr>
          <w:rFonts w:ascii="David" w:hAnsi="David"/>
          <w:rtl/>
        </w:rPr>
        <w:tab/>
        <w:t xml:space="preserve">בוצעו בתקופת הקורונה במציאות מורכבת שבה, בין היתר, לא נפתחו בתי הספר והילדים </w:t>
      </w:r>
      <w:r w:rsidRPr="007D190C">
        <w:rPr>
          <w:rFonts w:ascii="David" w:hAnsi="David"/>
          <w:rtl/>
        </w:rPr>
        <w:tab/>
        <w:t xml:space="preserve">לא זכו לפדגוגיה בסיסית, לרבות בנושאים של מותר ואסור. </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ind w:left="720"/>
        <w:jc w:val="both"/>
        <w:rPr>
          <w:rFonts w:ascii="David" w:hAnsi="David"/>
          <w:rtl/>
        </w:rPr>
      </w:pPr>
      <w:r w:rsidRPr="007D190C">
        <w:rPr>
          <w:rFonts w:ascii="David" w:hAnsi="David"/>
          <w:rtl/>
        </w:rPr>
        <w:t>ב"כ הנאשם הפנה לתסקיר שירות המבחן והד</w:t>
      </w:r>
      <w:r w:rsidRPr="007D190C">
        <w:rPr>
          <w:rFonts w:ascii="David" w:hAnsi="David"/>
          <w:rtl/>
        </w:rPr>
        <w:t>גיש כי שירות המבחן המליץ על הרשעת הנאשם, תוצאה שמשמעותה היא שקולן של המתלוננת נלקח בחשבון לא נשכח. זאת ועוד, העונש שהוצע על ידי שירות המבחן כולל שלילת חירות לא מבוטלת. אכן, מאסר מאחורי סורג ובריח הוא אכזרי יותר, ואולם יחד עם זאת, גם על פי דעת הגורמים המטפל</w:t>
      </w:r>
      <w:r w:rsidRPr="007D190C">
        <w:rPr>
          <w:rFonts w:ascii="David" w:hAnsi="David"/>
          <w:rtl/>
        </w:rPr>
        <w:t>ים מעון נעול איננו "פרס" אלא מסגרת נוקשה, בה הקטין מתחייב להיות מפוקח 24 שעות ביממה. מדובר במקום שמטיל משימה קשה ואינסופית עבור הנאשם. יש לזכור, שבמידה שהנאשם לא יעמוד בתנאיי המקום, ו/או יחטא בהתנהגותו או יסרב להישמע להוראות, הוא יישלח למאסר מאחורי סורג וב</w:t>
      </w:r>
      <w:r w:rsidRPr="007D190C">
        <w:rPr>
          <w:rFonts w:ascii="David" w:hAnsi="David"/>
          <w:rtl/>
        </w:rPr>
        <w:t xml:space="preserve">ריח. על כן, אין לקבל את טענת המאשימה כי מדובר במעין "הטבה" עבור הנאשם. </w:t>
      </w:r>
    </w:p>
    <w:p w:rsidR="007D190C" w:rsidRPr="007D190C" w:rsidRDefault="00DE4D55" w:rsidP="007D190C">
      <w:pPr>
        <w:spacing w:line="360" w:lineRule="auto"/>
        <w:ind w:left="720"/>
        <w:jc w:val="both"/>
        <w:rPr>
          <w:rFonts w:ascii="David" w:hAnsi="David"/>
          <w:rtl/>
        </w:rPr>
      </w:pPr>
      <w:r w:rsidRPr="007D190C">
        <w:rPr>
          <w:rFonts w:ascii="David" w:hAnsi="David"/>
          <w:rtl/>
        </w:rPr>
        <w:t xml:space="preserve">עוד נטען כי הנאשם שניצב לפנינו היום איננו אותו נער של מועד ביצוע העבירות. כאמור, הנאשם לקח אחריות, הוא מבין את מעשיו ומביע חרטה. יש להוסיף לכך את ההורים אשר אף הם לקחו אחריות על מעשי הנאשם ולא התבצרו בעמדה קורבנית ו/או אי הבנה חברתית. </w:t>
      </w:r>
    </w:p>
    <w:p w:rsidR="007D190C" w:rsidRPr="007D190C" w:rsidRDefault="00DE4D55" w:rsidP="007D190C">
      <w:pPr>
        <w:spacing w:line="360" w:lineRule="auto"/>
        <w:ind w:left="720"/>
        <w:jc w:val="both"/>
        <w:rPr>
          <w:rFonts w:ascii="David" w:hAnsi="David"/>
          <w:rtl/>
        </w:rPr>
      </w:pPr>
      <w:r w:rsidRPr="007D190C">
        <w:rPr>
          <w:rFonts w:ascii="David" w:hAnsi="David"/>
          <w:rtl/>
        </w:rPr>
        <w:t>הסנגור הדגיש כי שליח</w:t>
      </w:r>
      <w:r w:rsidRPr="007D190C">
        <w:rPr>
          <w:rFonts w:ascii="David" w:hAnsi="David"/>
          <w:rtl/>
        </w:rPr>
        <w:t>ת הנאשם למאסר משמעותו התעלמות מהתנהלות הנאשם לאורך כל ניהול ההליך הפלילי. לדעת הסנגור השאלה שיש לשאול היא עד כמה יהא בעונש המוצע כדי לפגוע במתלוננות או להעצים את כאבן, שהרי בסופו של דבר מעון נעול מהווה ענישה ממשית ומשמעותית, שיש בה כדי להגשים את המטרה והאי</w:t>
      </w:r>
      <w:r w:rsidRPr="007D190C">
        <w:rPr>
          <w:rFonts w:ascii="David" w:hAnsi="David"/>
          <w:rtl/>
        </w:rPr>
        <w:t xml:space="preserve">נטרס המשותף לכל הצדדים שהוא מניעת פגיעות נוספות, הן במקרה זה והן במקרים אחרים. ספק אם אינטרס זו הוא ישורת אם הנאשם ירצה את עונשו מאחורי סורג ובריח. </w:t>
      </w:r>
    </w:p>
    <w:p w:rsidR="007D190C" w:rsidRPr="007D190C" w:rsidRDefault="00DE4D55" w:rsidP="00383ABB">
      <w:pPr>
        <w:spacing w:line="360" w:lineRule="auto"/>
        <w:ind w:left="720"/>
        <w:jc w:val="both"/>
        <w:rPr>
          <w:rFonts w:ascii="David" w:hAnsi="David"/>
          <w:rtl/>
        </w:rPr>
      </w:pPr>
      <w:r w:rsidRPr="007D190C">
        <w:rPr>
          <w:rFonts w:ascii="David" w:hAnsi="David"/>
          <w:rtl/>
        </w:rPr>
        <w:t xml:space="preserve">הסנגור הפנה לפסיקה, כפי שעוד יפורט לגבי חשיבות השיקום לגבי קטינים ואת מדיניות הפסיקה בנושא זה. </w:t>
      </w:r>
    </w:p>
    <w:p w:rsidR="007D190C" w:rsidRPr="007D190C" w:rsidRDefault="00DE4D55" w:rsidP="007D190C">
      <w:pPr>
        <w:spacing w:line="360" w:lineRule="auto"/>
        <w:jc w:val="both"/>
        <w:rPr>
          <w:rFonts w:ascii="David" w:hAnsi="David"/>
          <w:rtl/>
        </w:rPr>
      </w:pPr>
      <w:r w:rsidRPr="007D190C">
        <w:rPr>
          <w:rFonts w:ascii="David" w:hAnsi="David"/>
          <w:rtl/>
        </w:rPr>
        <w:lastRenderedPageBreak/>
        <w:t>7.2</w:t>
      </w:r>
      <w:r w:rsidRPr="007D190C">
        <w:rPr>
          <w:rFonts w:ascii="David" w:hAnsi="David"/>
          <w:rtl/>
        </w:rPr>
        <w:tab/>
        <w:t>הנאשם פ</w:t>
      </w:r>
      <w:r w:rsidRPr="007D190C">
        <w:rPr>
          <w:rFonts w:ascii="David" w:hAnsi="David"/>
          <w:rtl/>
        </w:rPr>
        <w:t xml:space="preserve">תח את דברו לעונש בהתנצלות בפני המתלוננות שנכחו באולם. הוא הדגיש שהוא </w:t>
      </w:r>
      <w:r w:rsidRPr="007D190C">
        <w:rPr>
          <w:rFonts w:ascii="David" w:hAnsi="David"/>
          <w:rtl/>
        </w:rPr>
        <w:tab/>
        <w:t xml:space="preserve">ער לפגמים רבים שנפלו בהתנהלותו ובתפקודו, אך מרגע שניתנה לו ההזדמנות לפני שנה </w:t>
      </w:r>
      <w:r w:rsidRPr="007D190C">
        <w:rPr>
          <w:rFonts w:ascii="David" w:hAnsi="David"/>
          <w:rtl/>
        </w:rPr>
        <w:tab/>
        <w:t xml:space="preserve">וחצי (במסגרת הליך המעצר) להשתלב בהליך טיפולי הוא עושה דרך ארוכה להשתנות. </w:t>
      </w:r>
      <w:r w:rsidRPr="007D190C">
        <w:rPr>
          <w:rFonts w:ascii="David" w:hAnsi="David"/>
          <w:rtl/>
        </w:rPr>
        <w:tab/>
        <w:t>הוא משתמש בתמיכה שמקבל מקצינת המבח</w:t>
      </w:r>
      <w:r w:rsidRPr="007D190C">
        <w:rPr>
          <w:rFonts w:ascii="David" w:hAnsi="David"/>
          <w:rtl/>
        </w:rPr>
        <w:t xml:space="preserve">ן, מהמעון ומהמשפחה. הנאשם הודה שעוד </w:t>
      </w:r>
      <w:r w:rsidRPr="007D190C">
        <w:rPr>
          <w:rFonts w:ascii="David" w:hAnsi="David"/>
          <w:rtl/>
        </w:rPr>
        <w:tab/>
        <w:t xml:space="preserve">דרך ארוכה לפניו וביקש שתינתן לו ההזדמנות. הנאשם אמר" </w:t>
      </w:r>
      <w:r w:rsidRPr="007D190C">
        <w:rPr>
          <w:rFonts w:ascii="David" w:hAnsi="David"/>
          <w:b/>
          <w:bCs/>
          <w:rtl/>
        </w:rPr>
        <w:t xml:space="preserve">אני לא רוצה להמשיך ולפגוע </w:t>
      </w:r>
      <w:r w:rsidRPr="007D190C">
        <w:rPr>
          <w:rFonts w:ascii="David" w:hAnsi="David"/>
          <w:b/>
          <w:bCs/>
          <w:rtl/>
        </w:rPr>
        <w:tab/>
        <w:t>באף אחד ואני חושש להיכנס לכלא ושלא תינתן לי האפשרות להמשיך בטיפול"</w:t>
      </w:r>
      <w:r w:rsidRPr="007D190C">
        <w:rPr>
          <w:rFonts w:ascii="David" w:hAnsi="David"/>
          <w:rtl/>
        </w:rPr>
        <w:t xml:space="preserve"> הנאשם </w:t>
      </w:r>
      <w:r w:rsidRPr="007D190C">
        <w:rPr>
          <w:rFonts w:ascii="David" w:hAnsi="David"/>
          <w:rtl/>
        </w:rPr>
        <w:tab/>
        <w:t xml:space="preserve">עתר שלא לפגוע בהליך שבו החל </w:t>
      </w:r>
      <w:r w:rsidRPr="007D190C">
        <w:rPr>
          <w:rFonts w:ascii="David" w:hAnsi="David"/>
          <w:rtl/>
        </w:rPr>
        <w:tab/>
        <w:t>וביטא חשש מהאפשרות להישלח לכלא. ביטא</w:t>
      </w:r>
      <w:r w:rsidRPr="007D190C">
        <w:rPr>
          <w:rFonts w:ascii="David" w:hAnsi="David"/>
          <w:rtl/>
        </w:rPr>
        <w:t xml:space="preserve"> תקווה </w:t>
      </w:r>
      <w:r w:rsidRPr="007D190C">
        <w:rPr>
          <w:rFonts w:ascii="David" w:hAnsi="David"/>
          <w:rtl/>
        </w:rPr>
        <w:tab/>
        <w:t>שהבנות שבהן פגע יצליחו לשקם את החיים שלהן.</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jc w:val="both"/>
        <w:rPr>
          <w:rFonts w:ascii="David" w:hAnsi="David"/>
          <w:rtl/>
        </w:rPr>
      </w:pPr>
      <w:r w:rsidRPr="007D190C">
        <w:rPr>
          <w:rFonts w:ascii="David" w:hAnsi="David"/>
          <w:rtl/>
        </w:rPr>
        <w:t>8.</w:t>
      </w:r>
      <w:r w:rsidRPr="007D190C">
        <w:rPr>
          <w:rFonts w:ascii="David" w:hAnsi="David"/>
          <w:rtl/>
        </w:rPr>
        <w:tab/>
      </w:r>
      <w:r w:rsidRPr="007D190C">
        <w:rPr>
          <w:rFonts w:ascii="David" w:hAnsi="David"/>
          <w:b/>
          <w:bCs/>
          <w:sz w:val="28"/>
          <w:szCs w:val="28"/>
          <w:u w:val="single"/>
          <w:rtl/>
        </w:rPr>
        <w:t>דיון ומסקנות</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jc w:val="both"/>
        <w:rPr>
          <w:rFonts w:ascii="David" w:hAnsi="David"/>
          <w:u w:val="single"/>
          <w:rtl/>
        </w:rPr>
      </w:pPr>
      <w:r w:rsidRPr="007D190C">
        <w:rPr>
          <w:rFonts w:ascii="David" w:hAnsi="David"/>
          <w:rtl/>
        </w:rPr>
        <w:tab/>
      </w:r>
      <w:r w:rsidRPr="007D190C">
        <w:rPr>
          <w:rFonts w:ascii="David" w:hAnsi="David"/>
          <w:b/>
          <w:bCs/>
          <w:u w:val="single"/>
          <w:rtl/>
        </w:rPr>
        <w:t>טיב העבירות, חומרתן ומידת אשמו של הנאשם</w:t>
      </w:r>
    </w:p>
    <w:p w:rsidR="007D190C" w:rsidRPr="007D190C" w:rsidRDefault="007D190C" w:rsidP="007D190C">
      <w:pPr>
        <w:spacing w:line="360" w:lineRule="auto"/>
        <w:jc w:val="both"/>
        <w:rPr>
          <w:rFonts w:ascii="David" w:hAnsi="David"/>
          <w:u w:val="single"/>
          <w:rtl/>
        </w:rPr>
      </w:pPr>
    </w:p>
    <w:p w:rsidR="007D190C" w:rsidRPr="007D190C" w:rsidRDefault="00DE4D55" w:rsidP="007D190C">
      <w:pPr>
        <w:spacing w:line="360" w:lineRule="auto"/>
        <w:jc w:val="both"/>
        <w:rPr>
          <w:rFonts w:ascii="David" w:hAnsi="David"/>
          <w:rtl/>
        </w:rPr>
      </w:pPr>
      <w:r w:rsidRPr="007D190C">
        <w:rPr>
          <w:rFonts w:ascii="David" w:hAnsi="David"/>
          <w:rtl/>
        </w:rPr>
        <w:t>8.1</w:t>
      </w:r>
      <w:r w:rsidRPr="007D190C">
        <w:rPr>
          <w:rFonts w:ascii="David" w:hAnsi="David"/>
          <w:rtl/>
        </w:rPr>
        <w:tab/>
        <w:t xml:space="preserve">כתב האישום מונה שורה של עבירות מין שהנאשם ביצע כנגד שש נפגעות שונות, בנות גילו, </w:t>
      </w:r>
      <w:r w:rsidRPr="007D190C">
        <w:rPr>
          <w:rFonts w:ascii="David" w:hAnsi="David"/>
          <w:rtl/>
        </w:rPr>
        <w:tab/>
        <w:t xml:space="preserve">שאיתן למד בבתי ספר שונים בהיותם בגיל 13-15. </w:t>
      </w:r>
    </w:p>
    <w:p w:rsidR="007D190C" w:rsidRPr="007D190C" w:rsidRDefault="00DE4D55" w:rsidP="007D190C">
      <w:pPr>
        <w:spacing w:line="360" w:lineRule="auto"/>
        <w:jc w:val="both"/>
        <w:rPr>
          <w:rFonts w:ascii="David" w:hAnsi="David"/>
          <w:rtl/>
        </w:rPr>
      </w:pPr>
      <w:r w:rsidRPr="007D190C">
        <w:rPr>
          <w:rFonts w:ascii="David" w:hAnsi="David"/>
          <w:rtl/>
        </w:rPr>
        <w:tab/>
      </w:r>
      <w:r w:rsidRPr="007D190C">
        <w:rPr>
          <w:rFonts w:ascii="David" w:hAnsi="David"/>
          <w:rtl/>
        </w:rPr>
        <w:t xml:space="preserve">מעשי הנאשם הם חמורים ומכוערים מכל בחינה. הם מעידים על דפוס התנהגות זהה </w:t>
      </w:r>
      <w:r w:rsidRPr="007D190C">
        <w:rPr>
          <w:rFonts w:ascii="David" w:hAnsi="David"/>
          <w:rtl/>
        </w:rPr>
        <w:tab/>
        <w:t xml:space="preserve">מבחינת העדר נורמות תקינות לגבי המותר והאסור ביחסים שבין שני המינים, העדר יחס </w:t>
      </w:r>
      <w:r w:rsidRPr="007D190C">
        <w:rPr>
          <w:rFonts w:ascii="David" w:hAnsi="David"/>
          <w:rtl/>
        </w:rPr>
        <w:tab/>
        <w:t xml:space="preserve">של כבוד לבנות </w:t>
      </w:r>
      <w:r w:rsidRPr="007D190C">
        <w:rPr>
          <w:rFonts w:ascii="David" w:hAnsi="David"/>
          <w:rtl/>
        </w:rPr>
        <w:tab/>
        <w:t xml:space="preserve">המין השני וחוסר אמפטיה כלפי חברותיו ללימודים, תוך התמקדות </w:t>
      </w:r>
      <w:r w:rsidRPr="007D190C">
        <w:rPr>
          <w:rFonts w:ascii="David" w:hAnsi="David"/>
          <w:rtl/>
        </w:rPr>
        <w:tab/>
        <w:t>בצרכיו המיניים בלבד. את מעשיו יש</w:t>
      </w:r>
      <w:r w:rsidRPr="007D190C">
        <w:rPr>
          <w:rFonts w:ascii="David" w:hAnsi="David"/>
          <w:rtl/>
        </w:rPr>
        <w:t xml:space="preserve"> להוקיע בכל היבט אפשרי.</w:t>
      </w:r>
    </w:p>
    <w:p w:rsidR="007D190C" w:rsidRPr="007D190C" w:rsidRDefault="00DE4D55" w:rsidP="007D190C">
      <w:pPr>
        <w:spacing w:line="360" w:lineRule="auto"/>
        <w:jc w:val="both"/>
        <w:rPr>
          <w:rFonts w:ascii="David" w:hAnsi="David"/>
          <w:rtl/>
        </w:rPr>
      </w:pPr>
      <w:r w:rsidRPr="007D190C">
        <w:rPr>
          <w:rFonts w:ascii="David" w:hAnsi="David"/>
          <w:rtl/>
        </w:rPr>
        <w:tab/>
      </w:r>
    </w:p>
    <w:p w:rsidR="007D190C" w:rsidRPr="007D190C" w:rsidRDefault="00DE4D55" w:rsidP="00DF513B">
      <w:pPr>
        <w:spacing w:line="360" w:lineRule="auto"/>
        <w:jc w:val="both"/>
        <w:rPr>
          <w:rFonts w:ascii="David" w:hAnsi="David"/>
          <w:rtl/>
        </w:rPr>
      </w:pPr>
      <w:r w:rsidRPr="007D190C">
        <w:rPr>
          <w:rFonts w:ascii="David" w:hAnsi="David"/>
          <w:rtl/>
        </w:rPr>
        <w:tab/>
        <w:t xml:space="preserve">אדגיש את המובן מאליו אשמתו של הנאשם לקרות האירועים היא ברורה וחד משמעית. </w:t>
      </w:r>
      <w:r w:rsidRPr="007D190C">
        <w:rPr>
          <w:rFonts w:ascii="David" w:hAnsi="David"/>
          <w:rtl/>
        </w:rPr>
        <w:tab/>
        <w:t xml:space="preserve">זאת, לא רק משום שהוא עצמו הודה מיד, עוד בפני השופט המגשר, נטל אחריות מלאה והכיר </w:t>
      </w:r>
      <w:r w:rsidRPr="007D190C">
        <w:rPr>
          <w:rFonts w:ascii="David" w:hAnsi="David"/>
          <w:rtl/>
        </w:rPr>
        <w:tab/>
        <w:t xml:space="preserve">באשמתו, אלא שמן הראוי בפן העקרוני שהאצבע המאשימה תופנה אל ה"עושה". אין </w:t>
      </w:r>
      <w:r w:rsidRPr="007D190C">
        <w:rPr>
          <w:rFonts w:ascii="David" w:hAnsi="David"/>
          <w:rtl/>
        </w:rPr>
        <w:tab/>
        <w:t>לק</w:t>
      </w:r>
      <w:r w:rsidRPr="007D190C">
        <w:rPr>
          <w:rFonts w:ascii="David" w:hAnsi="David"/>
          <w:rtl/>
        </w:rPr>
        <w:t xml:space="preserve">בל גישה שלפיה יש לגלגל אחריות, בדרך כזו או אחרת, על הקורבן, על כך שאולי בדרך </w:t>
      </w:r>
      <w:r w:rsidRPr="007D190C">
        <w:rPr>
          <w:rFonts w:ascii="David" w:hAnsi="David"/>
          <w:rtl/>
        </w:rPr>
        <w:tab/>
        <w:t xml:space="preserve">התנהלותו לא מנע את המעשים. אין לצפות מנערה לחשוש מקשר חברי רגיל עם בנים בני </w:t>
      </w:r>
      <w:r w:rsidRPr="007D190C">
        <w:rPr>
          <w:rFonts w:ascii="David" w:hAnsi="David"/>
          <w:rtl/>
        </w:rPr>
        <w:tab/>
        <w:t xml:space="preserve">גילה כדי שלא להיפגע מינית, אין </w:t>
      </w:r>
      <w:r w:rsidRPr="007D190C">
        <w:rPr>
          <w:rFonts w:ascii="David" w:hAnsi="David"/>
          <w:rtl/>
        </w:rPr>
        <w:tab/>
        <w:t xml:space="preserve">סיבה לראות בנערה או באישה כמי שאחראית להתנהג </w:t>
      </w:r>
      <w:r w:rsidRPr="007D190C">
        <w:rPr>
          <w:rFonts w:ascii="David" w:hAnsi="David"/>
          <w:rtl/>
        </w:rPr>
        <w:tab/>
        <w:t>באופן שלא יתפרש חלילה כ</w:t>
      </w:r>
      <w:r w:rsidRPr="007D190C">
        <w:rPr>
          <w:rFonts w:ascii="David" w:hAnsi="David"/>
          <w:rtl/>
        </w:rPr>
        <w:t xml:space="preserve">היתר </w:t>
      </w:r>
      <w:r w:rsidRPr="007D190C">
        <w:rPr>
          <w:rFonts w:ascii="David" w:hAnsi="David"/>
          <w:rtl/>
        </w:rPr>
        <w:tab/>
        <w:t xml:space="preserve">לפגוע בה מינית. בוודאי שאין לבקר נערה על האומץ </w:t>
      </w:r>
      <w:r w:rsidRPr="007D190C">
        <w:rPr>
          <w:rFonts w:ascii="David" w:hAnsi="David"/>
          <w:rtl/>
        </w:rPr>
        <w:tab/>
        <w:t xml:space="preserve">שגילתה בעצם הגשת התלונה, </w:t>
      </w:r>
      <w:r w:rsidR="00DF513B">
        <w:rPr>
          <w:rFonts w:ascii="David" w:hAnsi="David"/>
          <w:rtl/>
        </w:rPr>
        <w:t>ביקורת שעליה העידו חלק מהנפגעות</w:t>
      </w:r>
      <w:r w:rsidRPr="007D190C">
        <w:rPr>
          <w:rFonts w:ascii="David" w:hAnsi="David"/>
          <w:rtl/>
        </w:rPr>
        <w:t>.</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jc w:val="both"/>
        <w:rPr>
          <w:rFonts w:ascii="David" w:hAnsi="David"/>
          <w:rtl/>
        </w:rPr>
      </w:pPr>
      <w:r w:rsidRPr="007D190C">
        <w:rPr>
          <w:rFonts w:ascii="David" w:hAnsi="David"/>
          <w:rtl/>
        </w:rPr>
        <w:t>8.2</w:t>
      </w:r>
      <w:r w:rsidRPr="007D190C">
        <w:rPr>
          <w:rFonts w:ascii="David" w:hAnsi="David"/>
          <w:rtl/>
        </w:rPr>
        <w:tab/>
        <w:t xml:space="preserve">הגם שאמרתי כל זאת, הכרח להדגיש שלא כל האישומים שבכתב האישום הם באותה </w:t>
      </w:r>
      <w:r w:rsidRPr="007D190C">
        <w:rPr>
          <w:rFonts w:ascii="David" w:hAnsi="David"/>
          <w:rtl/>
        </w:rPr>
        <w:tab/>
        <w:t>דרגת חומרה מבחינת סעיף העבירה והסנקציה שבצדה, מבחינת טיב המעשה, נסיבו</w:t>
      </w:r>
      <w:r w:rsidRPr="007D190C">
        <w:rPr>
          <w:rFonts w:ascii="David" w:hAnsi="David"/>
          <w:rtl/>
        </w:rPr>
        <w:t xml:space="preserve">ת </w:t>
      </w:r>
      <w:r w:rsidRPr="007D190C">
        <w:rPr>
          <w:rFonts w:ascii="David" w:hAnsi="David"/>
          <w:rtl/>
        </w:rPr>
        <w:tab/>
        <w:t xml:space="preserve">ביצוע העבירה, וכן מבחינת טיב מערכת היחסים שבין הנאשם לכל אחת מהנפגעות </w:t>
      </w:r>
      <w:r w:rsidRPr="007D190C">
        <w:rPr>
          <w:rFonts w:ascii="David" w:hAnsi="David"/>
          <w:rtl/>
        </w:rPr>
        <w:tab/>
        <w:t xml:space="preserve">הספציפיות. </w:t>
      </w:r>
    </w:p>
    <w:p w:rsidR="007D190C" w:rsidRPr="007D190C" w:rsidRDefault="00DE4D55" w:rsidP="007D190C">
      <w:pPr>
        <w:spacing w:line="360" w:lineRule="auto"/>
        <w:jc w:val="both"/>
        <w:rPr>
          <w:rFonts w:ascii="David" w:hAnsi="David"/>
          <w:rtl/>
        </w:rPr>
      </w:pPr>
      <w:r w:rsidRPr="007D190C">
        <w:rPr>
          <w:rFonts w:ascii="David" w:hAnsi="David"/>
          <w:rtl/>
        </w:rPr>
        <w:lastRenderedPageBreak/>
        <w:tab/>
        <w:t xml:space="preserve">במסגרת טיעוניה לעונש, התייחסה ב"כ המאשימה אל מעשי הנאשם בכל האירועים במידת </w:t>
      </w:r>
      <w:r w:rsidRPr="007D190C">
        <w:rPr>
          <w:rFonts w:ascii="David" w:hAnsi="David"/>
          <w:rtl/>
        </w:rPr>
        <w:tab/>
        <w:t xml:space="preserve">חומרה </w:t>
      </w:r>
      <w:r w:rsidRPr="007D190C">
        <w:rPr>
          <w:rFonts w:ascii="David" w:hAnsi="David"/>
          <w:rtl/>
        </w:rPr>
        <w:tab/>
        <w:t xml:space="preserve">אחידה ואל כל הנפגעות כאל מקשה אחת, ואולם, בעת שאנו נדרשים לגזור את דינו </w:t>
      </w:r>
      <w:r w:rsidRPr="007D190C">
        <w:rPr>
          <w:rFonts w:ascii="David" w:hAnsi="David"/>
          <w:rtl/>
        </w:rPr>
        <w:tab/>
        <w:t>של הנאשם, אין</w:t>
      </w:r>
      <w:r w:rsidRPr="007D190C">
        <w:rPr>
          <w:rFonts w:ascii="David" w:hAnsi="David"/>
          <w:rtl/>
        </w:rPr>
        <w:t xml:space="preserve"> מנוס בכל זאת מלבחון את כל אחד מהאירועים באמות המידה המסוימות </w:t>
      </w:r>
      <w:r w:rsidRPr="007D190C">
        <w:rPr>
          <w:rFonts w:ascii="David" w:hAnsi="David"/>
          <w:rtl/>
        </w:rPr>
        <w:tab/>
        <w:t xml:space="preserve">שלו, תוך התייחסות לרמת חומרתו הספציפית. כך למשל, אין להתעלם מכך שבמסגרת </w:t>
      </w:r>
      <w:r w:rsidRPr="007D190C">
        <w:rPr>
          <w:rFonts w:ascii="David" w:hAnsi="David"/>
          <w:rtl/>
        </w:rPr>
        <w:tab/>
        <w:t xml:space="preserve">אישומים 5 ו-6 שבכל אחד מהם יוחסה לנאשם עבירה של מעשה מגונה, מתוארים מעשים </w:t>
      </w:r>
      <w:r w:rsidRPr="007D190C">
        <w:rPr>
          <w:rFonts w:ascii="David" w:hAnsi="David"/>
          <w:rtl/>
        </w:rPr>
        <w:tab/>
        <w:t>ברף חומרה נמוך יחסית של עבירות המין, שלא מצדי</w:t>
      </w:r>
      <w:r w:rsidRPr="007D190C">
        <w:rPr>
          <w:rFonts w:ascii="David" w:hAnsi="David"/>
          <w:rtl/>
        </w:rPr>
        <w:t xml:space="preserve">קים כשלעצמם עתירה לעונש </w:t>
      </w:r>
      <w:r w:rsidRPr="007D190C">
        <w:rPr>
          <w:rFonts w:ascii="David" w:hAnsi="David"/>
          <w:rtl/>
        </w:rPr>
        <w:tab/>
        <w:t xml:space="preserve">משמעותי. גם בכל אחד מהמקרים האחרים ראוי לעשות אבחנות רלוונטיות הנוגעות לעונש </w:t>
      </w:r>
      <w:r w:rsidRPr="007D190C">
        <w:rPr>
          <w:rFonts w:ascii="David" w:hAnsi="David"/>
          <w:rtl/>
        </w:rPr>
        <w:tab/>
        <w:t>ההולם.</w:t>
      </w:r>
    </w:p>
    <w:p w:rsidR="007D190C" w:rsidRPr="007D190C" w:rsidRDefault="00DE4D55" w:rsidP="007D190C">
      <w:pPr>
        <w:spacing w:line="360" w:lineRule="auto"/>
        <w:jc w:val="both"/>
        <w:rPr>
          <w:rFonts w:ascii="David" w:hAnsi="David"/>
          <w:rtl/>
        </w:rPr>
      </w:pPr>
      <w:r w:rsidRPr="007D190C">
        <w:rPr>
          <w:rFonts w:ascii="David" w:hAnsi="David"/>
          <w:rtl/>
        </w:rPr>
        <w:tab/>
        <w:t xml:space="preserve">בהקשר זה אוסיף, על רקע טיעוני המאשימה, שעל בסיס עובדות כתב האישום שבהן </w:t>
      </w:r>
      <w:r w:rsidRPr="007D190C">
        <w:rPr>
          <w:rFonts w:ascii="David" w:hAnsi="David"/>
          <w:rtl/>
        </w:rPr>
        <w:tab/>
        <w:t xml:space="preserve">הודה הנאשם, אין לפנינו אינדיקציה ראייתית לכך שהמעשי הנאשם בוצעו בעורמה </w:t>
      </w:r>
      <w:r w:rsidRPr="007D190C">
        <w:rPr>
          <w:rFonts w:ascii="David" w:hAnsi="David"/>
          <w:rtl/>
        </w:rPr>
        <w:tab/>
        <w:t>ו</w:t>
      </w:r>
      <w:r w:rsidRPr="007D190C">
        <w:rPr>
          <w:rFonts w:ascii="David" w:hAnsi="David"/>
          <w:rtl/>
        </w:rPr>
        <w:t xml:space="preserve">במניפולטיביות. </w:t>
      </w:r>
      <w:r w:rsidRPr="007D190C">
        <w:rPr>
          <w:rFonts w:ascii="David" w:hAnsi="David"/>
          <w:b/>
          <w:bCs/>
          <w:rtl/>
        </w:rPr>
        <w:t xml:space="preserve"> </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jc w:val="both"/>
        <w:rPr>
          <w:rFonts w:ascii="David" w:hAnsi="David"/>
          <w:rtl/>
        </w:rPr>
      </w:pPr>
      <w:r w:rsidRPr="007D190C">
        <w:rPr>
          <w:rFonts w:ascii="David" w:hAnsi="David"/>
          <w:rtl/>
        </w:rPr>
        <w:t>8.3</w:t>
      </w:r>
      <w:r w:rsidRPr="007D190C">
        <w:rPr>
          <w:rFonts w:ascii="David" w:hAnsi="David"/>
          <w:rtl/>
        </w:rPr>
        <w:tab/>
        <w:t xml:space="preserve">בהיבט הכללי אפוא, למרות השוני בדרגת החומרה בין האירועים השונים, אין עוררין לגבי </w:t>
      </w:r>
      <w:r w:rsidRPr="007D190C">
        <w:rPr>
          <w:rFonts w:ascii="David" w:hAnsi="David"/>
          <w:rtl/>
        </w:rPr>
        <w:tab/>
        <w:t xml:space="preserve">חומרתם הכללית וכיעורם של מעשי הנאשם, בין השאר נוכח ריבוים, והדבר נכון במיוחד </w:t>
      </w:r>
      <w:r w:rsidRPr="007D190C">
        <w:rPr>
          <w:rFonts w:ascii="David" w:hAnsi="David"/>
          <w:rtl/>
        </w:rPr>
        <w:tab/>
        <w:t>בהיות הנפגעות קטינות בתחילת גיל ההתבגרות, חסרות ניסיון מיני ותמימות.</w:t>
      </w:r>
    </w:p>
    <w:p w:rsidR="007D190C" w:rsidRPr="007D190C" w:rsidRDefault="00DE4D55" w:rsidP="007D190C">
      <w:pPr>
        <w:spacing w:line="360" w:lineRule="auto"/>
        <w:jc w:val="both"/>
        <w:rPr>
          <w:rFonts w:ascii="David" w:hAnsi="David"/>
          <w:rtl/>
        </w:rPr>
      </w:pPr>
      <w:r w:rsidRPr="007D190C">
        <w:rPr>
          <w:rFonts w:ascii="David" w:hAnsi="David"/>
          <w:rtl/>
        </w:rPr>
        <w:tab/>
      </w:r>
    </w:p>
    <w:p w:rsidR="007D190C" w:rsidRPr="007D190C" w:rsidRDefault="00DE4D55" w:rsidP="007D190C">
      <w:pPr>
        <w:spacing w:line="360" w:lineRule="auto"/>
        <w:jc w:val="both"/>
        <w:rPr>
          <w:rFonts w:ascii="David" w:hAnsi="David"/>
          <w:rtl/>
        </w:rPr>
      </w:pPr>
      <w:r w:rsidRPr="007D190C">
        <w:rPr>
          <w:rFonts w:ascii="David" w:hAnsi="David"/>
          <w:rtl/>
        </w:rPr>
        <w:tab/>
        <w:t>ראו</w:t>
      </w:r>
      <w:r w:rsidRPr="007D190C">
        <w:rPr>
          <w:rFonts w:ascii="David" w:hAnsi="David"/>
          <w:rtl/>
        </w:rPr>
        <w:t xml:space="preserve">יים לציטוט דברי בית המשפט העליון בע"פ 6990/07 </w:t>
      </w:r>
      <w:r w:rsidRPr="007D190C">
        <w:rPr>
          <w:rFonts w:ascii="David" w:hAnsi="David"/>
          <w:b/>
          <w:bCs/>
          <w:rtl/>
        </w:rPr>
        <w:t>פלוני נ' מדינת ישראל</w:t>
      </w:r>
      <w:r w:rsidRPr="007D190C">
        <w:rPr>
          <w:rFonts w:ascii="David" w:hAnsi="David"/>
          <w:rtl/>
        </w:rPr>
        <w:t xml:space="preserve"> </w:t>
      </w:r>
      <w:r w:rsidRPr="007D190C">
        <w:rPr>
          <w:rFonts w:ascii="David" w:hAnsi="David"/>
          <w:rtl/>
        </w:rPr>
        <w:tab/>
        <w:t xml:space="preserve">(10/3/2008): </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jc w:val="both"/>
        <w:rPr>
          <w:rFonts w:ascii="David" w:hAnsi="David"/>
          <w:rtl/>
        </w:rPr>
      </w:pPr>
      <w:r w:rsidRPr="007D190C">
        <w:rPr>
          <w:rFonts w:ascii="David" w:hAnsi="David"/>
          <w:b/>
          <w:bCs/>
          <w:rtl/>
        </w:rPr>
        <w:tab/>
        <w:t xml:space="preserve">"על החומרה שיש בעבירות מין, לא כל שכן כאשר הן מבוצעות בקרבן קטין או קטינה, </w:t>
      </w:r>
      <w:r w:rsidRPr="007D190C">
        <w:rPr>
          <w:rFonts w:ascii="David" w:hAnsi="David"/>
          <w:b/>
          <w:bCs/>
          <w:rtl/>
        </w:rPr>
        <w:tab/>
        <w:t xml:space="preserve">דומה כי אין צורך להכביר מילים. חילול כבוד האדם של הקרבן, ניצול התמימות האמון, </w:t>
      </w:r>
      <w:r w:rsidRPr="007D190C">
        <w:rPr>
          <w:rFonts w:ascii="David" w:hAnsi="David"/>
          <w:b/>
          <w:bCs/>
          <w:rtl/>
        </w:rPr>
        <w:tab/>
      </w:r>
      <w:r w:rsidRPr="007D190C">
        <w:rPr>
          <w:rFonts w:ascii="David" w:hAnsi="David"/>
          <w:b/>
          <w:bCs/>
          <w:rtl/>
        </w:rPr>
        <w:t xml:space="preserve">חוסר האונים ואי היכולת להתנגד באופן משמעותי שמאפיינים פעמים רבות קרבנות </w:t>
      </w:r>
      <w:r w:rsidRPr="007D190C">
        <w:rPr>
          <w:rFonts w:ascii="David" w:hAnsi="David"/>
          <w:b/>
          <w:bCs/>
          <w:rtl/>
        </w:rPr>
        <w:tab/>
        <w:t xml:space="preserve">עבירה קטינים, ניצול החשש והפחד אצל רבים מהם מחשיפת המעשים, הצלקות </w:t>
      </w:r>
      <w:r w:rsidRPr="007D190C">
        <w:rPr>
          <w:rFonts w:ascii="David" w:hAnsi="David"/>
          <w:b/>
          <w:bCs/>
          <w:rtl/>
        </w:rPr>
        <w:tab/>
        <w:t xml:space="preserve">הנפשיות העמוקות הנחרתות בנפשם, הפגיעה בתפקודם השוטף במסגרות החיים </w:t>
      </w:r>
      <w:r w:rsidRPr="007D190C">
        <w:rPr>
          <w:rFonts w:ascii="David" w:hAnsi="David"/>
          <w:b/>
          <w:bCs/>
          <w:rtl/>
        </w:rPr>
        <w:tab/>
        <w:t>השונות, הזוגיות, החברתיות, האישיות ואחרות – כל אל</w:t>
      </w:r>
      <w:r w:rsidRPr="007D190C">
        <w:rPr>
          <w:rFonts w:ascii="David" w:hAnsi="David"/>
          <w:b/>
          <w:bCs/>
          <w:rtl/>
        </w:rPr>
        <w:t xml:space="preserve">ה הם אך מקצת הטעמים </w:t>
      </w:r>
      <w:r w:rsidRPr="007D190C">
        <w:rPr>
          <w:rFonts w:ascii="David" w:hAnsi="David"/>
          <w:b/>
          <w:bCs/>
          <w:rtl/>
        </w:rPr>
        <w:tab/>
        <w:t xml:space="preserve">לחומרתן היתרה של עבירות המין המבוצעות בקטינים. הגנה על שלומם של קטינים, על </w:t>
      </w:r>
      <w:r w:rsidRPr="007D190C">
        <w:rPr>
          <w:rFonts w:ascii="David" w:hAnsi="David"/>
          <w:b/>
          <w:bCs/>
          <w:rtl/>
        </w:rPr>
        <w:tab/>
        <w:t>שלמות גופם ונפשם הינה אינטרס חברתי מוגן על ידי דיני העונשין...".</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jc w:val="both"/>
        <w:rPr>
          <w:rFonts w:ascii="David" w:hAnsi="David"/>
          <w:rtl/>
        </w:rPr>
      </w:pPr>
      <w:r w:rsidRPr="007D190C">
        <w:rPr>
          <w:rFonts w:ascii="David" w:hAnsi="David"/>
          <w:rtl/>
        </w:rPr>
        <w:tab/>
        <w:t>וכן,</w:t>
      </w:r>
    </w:p>
    <w:p w:rsidR="007D190C" w:rsidRPr="007D190C" w:rsidRDefault="00DE4D55" w:rsidP="007D190C">
      <w:pPr>
        <w:spacing w:line="360" w:lineRule="auto"/>
        <w:jc w:val="both"/>
        <w:rPr>
          <w:rFonts w:ascii="David" w:hAnsi="David"/>
          <w:rtl/>
        </w:rPr>
      </w:pPr>
      <w:r w:rsidRPr="007D190C">
        <w:rPr>
          <w:rFonts w:ascii="David" w:hAnsi="David"/>
          <w:rtl/>
        </w:rPr>
        <w:tab/>
        <w:t xml:space="preserve"> </w:t>
      </w:r>
    </w:p>
    <w:p w:rsidR="007D190C" w:rsidRPr="007D190C" w:rsidRDefault="00DE4D55" w:rsidP="007D190C">
      <w:pPr>
        <w:spacing w:line="360" w:lineRule="auto"/>
        <w:jc w:val="both"/>
        <w:rPr>
          <w:rFonts w:ascii="David" w:hAnsi="David"/>
          <w:rtl/>
        </w:rPr>
      </w:pPr>
      <w:r w:rsidRPr="007D190C">
        <w:rPr>
          <w:rFonts w:ascii="David" w:hAnsi="David"/>
          <w:b/>
          <w:bCs/>
          <w:rtl/>
        </w:rPr>
        <w:tab/>
        <w:t xml:space="preserve">"האינטרס הציבורי מתחזק שעה שביצוע עבירות המין מופנה כלפי קטינים וקטינות, </w:t>
      </w:r>
      <w:r w:rsidRPr="007D190C">
        <w:rPr>
          <w:rFonts w:ascii="David" w:hAnsi="David"/>
          <w:b/>
          <w:bCs/>
          <w:rtl/>
        </w:rPr>
        <w:tab/>
        <w:t xml:space="preserve">וזאת בשל </w:t>
      </w:r>
      <w:r w:rsidRPr="007D190C">
        <w:rPr>
          <w:rFonts w:ascii="David" w:hAnsi="David"/>
          <w:b/>
          <w:bCs/>
          <w:rtl/>
        </w:rPr>
        <w:t xml:space="preserve">הפוטנציאל ההרסני של השפעת עבירות אלה על מי שזהותם האישית והמינית </w:t>
      </w:r>
      <w:r w:rsidRPr="007D190C">
        <w:rPr>
          <w:rFonts w:ascii="David" w:hAnsi="David"/>
          <w:b/>
          <w:bCs/>
          <w:rtl/>
        </w:rPr>
        <w:tab/>
        <w:t xml:space="preserve">טרם התעצבה... אמנם עבירות מין מסבות נזק, פיזי ונפשי, לכלל הנפגעים והנפגעות, אך </w:t>
      </w:r>
      <w:r w:rsidRPr="007D190C">
        <w:rPr>
          <w:rFonts w:ascii="David" w:hAnsi="David"/>
          <w:b/>
          <w:bCs/>
          <w:rtl/>
        </w:rPr>
        <w:tab/>
        <w:t xml:space="preserve">אין ספק שפגיעה מינית בגיל צעיר יש בה כדי להשפיע בצורה קשה ומקיפה יותר על </w:t>
      </w:r>
      <w:r w:rsidRPr="007D190C">
        <w:rPr>
          <w:rFonts w:ascii="David" w:hAnsi="David"/>
          <w:b/>
          <w:bCs/>
          <w:rtl/>
        </w:rPr>
        <w:lastRenderedPageBreak/>
        <w:tab/>
        <w:t xml:space="preserve">אישיותו של הנפגע על עולמה הפנימי של </w:t>
      </w:r>
      <w:r w:rsidRPr="007D190C">
        <w:rPr>
          <w:rFonts w:ascii="David" w:hAnsi="David"/>
          <w:b/>
          <w:bCs/>
          <w:rtl/>
        </w:rPr>
        <w:t>הנפגעת"</w:t>
      </w:r>
      <w:r w:rsidRPr="007D190C">
        <w:rPr>
          <w:rFonts w:ascii="David" w:hAnsi="David"/>
          <w:rtl/>
        </w:rPr>
        <w:t xml:space="preserve"> [ע"פ 707/14 פלוני נ' מדינת ישראל </w:t>
      </w:r>
      <w:r w:rsidRPr="007D190C">
        <w:rPr>
          <w:rFonts w:ascii="David" w:hAnsi="David"/>
          <w:rtl/>
        </w:rPr>
        <w:tab/>
        <w:t>(6.7.15)].</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jc w:val="both"/>
        <w:rPr>
          <w:rFonts w:ascii="David" w:hAnsi="David"/>
          <w:rtl/>
        </w:rPr>
      </w:pPr>
      <w:r w:rsidRPr="007D190C">
        <w:rPr>
          <w:rFonts w:ascii="David" w:hAnsi="David"/>
          <w:rtl/>
        </w:rPr>
        <w:tab/>
        <w:t xml:space="preserve">הערכים המוגנים שנפגעו במקרה שלנו הם אפוא שלימות הגוף, השמירה על האוטונומיה </w:t>
      </w:r>
      <w:r w:rsidRPr="007D190C">
        <w:rPr>
          <w:rFonts w:ascii="David" w:hAnsi="David"/>
          <w:rtl/>
        </w:rPr>
        <w:tab/>
        <w:t xml:space="preserve">של הגוף וההגנה על קטינים, והנאשם פגע בערכים אלה מספר פעמים, כלפי מספר נערות </w:t>
      </w:r>
      <w:r w:rsidRPr="007D190C">
        <w:rPr>
          <w:rFonts w:ascii="David" w:hAnsi="David"/>
          <w:rtl/>
        </w:rPr>
        <w:tab/>
        <w:t>שונות.</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jc w:val="both"/>
        <w:rPr>
          <w:rFonts w:ascii="David" w:hAnsi="David"/>
          <w:b/>
          <w:bCs/>
          <w:u w:val="single"/>
        </w:rPr>
      </w:pPr>
      <w:r w:rsidRPr="007D190C">
        <w:rPr>
          <w:rFonts w:ascii="David" w:hAnsi="David"/>
          <w:rtl/>
        </w:rPr>
        <w:tab/>
      </w:r>
      <w:r w:rsidRPr="007D190C">
        <w:rPr>
          <w:rFonts w:ascii="David" w:hAnsi="David"/>
          <w:b/>
          <w:bCs/>
          <w:u w:val="single"/>
          <w:rtl/>
        </w:rPr>
        <w:t>הפגיעה בנפגעות העבירה</w:t>
      </w:r>
    </w:p>
    <w:p w:rsidR="007D190C" w:rsidRPr="007D190C" w:rsidRDefault="00DE4D55" w:rsidP="007D190C">
      <w:pPr>
        <w:spacing w:line="360" w:lineRule="auto"/>
        <w:jc w:val="both"/>
        <w:rPr>
          <w:rFonts w:ascii="David" w:hAnsi="David"/>
          <w:rtl/>
        </w:rPr>
      </w:pPr>
      <w:r w:rsidRPr="007D190C">
        <w:rPr>
          <w:rFonts w:ascii="David" w:hAnsi="David"/>
          <w:rtl/>
        </w:rPr>
        <w:tab/>
      </w:r>
    </w:p>
    <w:p w:rsidR="007D190C" w:rsidRPr="007D190C" w:rsidRDefault="00DE4D55" w:rsidP="007D190C">
      <w:pPr>
        <w:spacing w:line="360" w:lineRule="auto"/>
        <w:jc w:val="both"/>
        <w:rPr>
          <w:rFonts w:ascii="David" w:hAnsi="David"/>
          <w:rtl/>
        </w:rPr>
      </w:pPr>
      <w:r w:rsidRPr="007D190C">
        <w:rPr>
          <w:rFonts w:ascii="David" w:hAnsi="David"/>
          <w:rtl/>
        </w:rPr>
        <w:t>8.4</w:t>
      </w:r>
      <w:r w:rsidRPr="007D190C">
        <w:rPr>
          <w:rFonts w:ascii="David" w:hAnsi="David"/>
          <w:rtl/>
        </w:rPr>
        <w:tab/>
        <w:t>למדנו מהתסק</w:t>
      </w:r>
      <w:r w:rsidRPr="007D190C">
        <w:rPr>
          <w:rFonts w:ascii="David" w:hAnsi="David"/>
          <w:rtl/>
        </w:rPr>
        <w:t xml:space="preserve">ירים שהוגשו אודות הנפגעות, וכן מעדויותיהן ו/או עדויות הוריהן על </w:t>
      </w:r>
      <w:r w:rsidRPr="007D190C">
        <w:rPr>
          <w:rFonts w:ascii="David" w:hAnsi="David"/>
          <w:rtl/>
        </w:rPr>
        <w:tab/>
        <w:t xml:space="preserve">המשבר </w:t>
      </w:r>
      <w:r w:rsidRPr="007D190C">
        <w:rPr>
          <w:rFonts w:ascii="David" w:hAnsi="David"/>
          <w:rtl/>
        </w:rPr>
        <w:tab/>
        <w:t xml:space="preserve">העמוק שפקד כל אחת מהן בעקבות האירועים, על קיומו של נזק נפשי משמעותי </w:t>
      </w:r>
      <w:r w:rsidRPr="007D190C">
        <w:rPr>
          <w:rFonts w:ascii="David" w:hAnsi="David"/>
          <w:rtl/>
        </w:rPr>
        <w:tab/>
        <w:t xml:space="preserve">ועל פגיעה שנגרמה גם לשאר בני המשפחה במישורי החיים השונים, כפי שחלקית פורט קודם </w:t>
      </w:r>
      <w:r w:rsidRPr="007D190C">
        <w:rPr>
          <w:rFonts w:ascii="David" w:hAnsi="David"/>
          <w:rtl/>
        </w:rPr>
        <w:tab/>
        <w:t>ולא אחזור. כאמור, הכאב והנזק שנגרמי</w:t>
      </w:r>
      <w:r w:rsidRPr="007D190C">
        <w:rPr>
          <w:rFonts w:ascii="David" w:hAnsi="David"/>
          <w:rtl/>
        </w:rPr>
        <w:t xml:space="preserve">ם לנפגעות תקיפה מינית בדרך כלל, וגם במקרה </w:t>
      </w:r>
      <w:r w:rsidRPr="007D190C">
        <w:rPr>
          <w:rFonts w:ascii="David" w:hAnsi="David"/>
          <w:rtl/>
        </w:rPr>
        <w:tab/>
        <w:t xml:space="preserve">זה, הם ידועים ומוכרים ואין לגביהם שאלה או תהייה. הנפגעות ובני משפחותיהן בתיק </w:t>
      </w:r>
      <w:r w:rsidRPr="007D190C">
        <w:rPr>
          <w:rFonts w:ascii="David" w:hAnsi="David"/>
          <w:rtl/>
        </w:rPr>
        <w:tab/>
        <w:t>זה, כל אחת בהתאם לנסיבותיה, עברו חוויה קשה ומטלטלת.</w:t>
      </w:r>
    </w:p>
    <w:p w:rsidR="007D190C" w:rsidRPr="007D190C" w:rsidRDefault="00DE4D55" w:rsidP="007D190C">
      <w:pPr>
        <w:spacing w:line="360" w:lineRule="auto"/>
        <w:jc w:val="both"/>
        <w:rPr>
          <w:rFonts w:ascii="David" w:hAnsi="David"/>
          <w:rtl/>
        </w:rPr>
      </w:pPr>
      <w:r w:rsidRPr="007D190C">
        <w:rPr>
          <w:rFonts w:ascii="David" w:hAnsi="David"/>
          <w:rtl/>
        </w:rPr>
        <w:tab/>
        <w:t xml:space="preserve">בהקשר זה נכון להוסיף: שמענו מפי הנפגעות, כמו גם מהאמור בתסקירים, על כך </w:t>
      </w:r>
      <w:r w:rsidRPr="007D190C">
        <w:rPr>
          <w:rFonts w:ascii="David" w:hAnsi="David"/>
          <w:rtl/>
        </w:rPr>
        <w:tab/>
        <w:t>שהמשבר הנפ</w:t>
      </w:r>
      <w:r w:rsidRPr="007D190C">
        <w:rPr>
          <w:rFonts w:ascii="David" w:hAnsi="David"/>
          <w:rtl/>
        </w:rPr>
        <w:t xml:space="preserve">שי שפקד אותן הועצם מאד ואפילו קיבל ביטוי דרמטי, דווקא לאחר חשיפת </w:t>
      </w:r>
      <w:r w:rsidRPr="007D190C">
        <w:rPr>
          <w:rFonts w:ascii="David" w:hAnsi="David"/>
          <w:rtl/>
        </w:rPr>
        <w:tab/>
        <w:t xml:space="preserve">האירועים ובעקבות חשיפתם. אצל חלק מהמתלוננות, כך נדמה, אלמלא הפרסום, שבחלקו </w:t>
      </w:r>
      <w:r w:rsidRPr="007D190C">
        <w:rPr>
          <w:rFonts w:ascii="David" w:hAnsi="David"/>
          <w:rtl/>
        </w:rPr>
        <w:tab/>
        <w:t xml:space="preserve">נכפה עליהן בעקבות מעורבותם בתלונה ולאחריה, אפשר שלא היינו עדים להידרדרות </w:t>
      </w:r>
      <w:r w:rsidRPr="007D190C">
        <w:rPr>
          <w:rFonts w:ascii="David" w:hAnsi="David"/>
          <w:rtl/>
        </w:rPr>
        <w:tab/>
        <w:t>הקשה הנוספת שתוארה. הנפגעות תיארו התמודד</w:t>
      </w:r>
      <w:r w:rsidRPr="007D190C">
        <w:rPr>
          <w:rFonts w:ascii="David" w:hAnsi="David"/>
          <w:rtl/>
        </w:rPr>
        <w:t xml:space="preserve">ות חברתית קשה, צורך בהסתגרות, הפיכת </w:t>
      </w:r>
      <w:r w:rsidRPr="007D190C">
        <w:rPr>
          <w:rFonts w:ascii="David" w:hAnsi="David"/>
          <w:rtl/>
        </w:rPr>
        <w:tab/>
        <w:t xml:space="preserve">המקרה שלהן לשיחת היום, ביוש פומבי (שיימיניג) ברשתות החברתיות, ואפילו הצקה מצד </w:t>
      </w:r>
      <w:r w:rsidRPr="007D190C">
        <w:rPr>
          <w:rFonts w:ascii="David" w:hAnsi="David"/>
          <w:rtl/>
        </w:rPr>
        <w:tab/>
        <w:t xml:space="preserve">עיתונאים עד כדי מארב ליד הבית או בית הספר. יש להתייחס לדברים בחומרה, במיוחד </w:t>
      </w:r>
      <w:r w:rsidRPr="007D190C">
        <w:rPr>
          <w:rFonts w:ascii="David" w:hAnsi="David"/>
          <w:rtl/>
        </w:rPr>
        <w:tab/>
        <w:t>להצדקה מצד עיתונאים. מקום שבו אנו מבקשים לעודד נפגעי תקיפה מיני</w:t>
      </w:r>
      <w:r w:rsidRPr="007D190C">
        <w:rPr>
          <w:rFonts w:ascii="David" w:hAnsi="David"/>
          <w:rtl/>
        </w:rPr>
        <w:t xml:space="preserve">ת להתלונן, הן </w:t>
      </w:r>
      <w:r w:rsidRPr="007D190C">
        <w:rPr>
          <w:rFonts w:ascii="David" w:hAnsi="David"/>
          <w:rtl/>
        </w:rPr>
        <w:tab/>
        <w:t xml:space="preserve">למען עצמם ועצמיותם והן למען נפגעים אחרים בפוטנציה – יש לתופעה זו בהחלט אפקט </w:t>
      </w:r>
      <w:r w:rsidRPr="007D190C">
        <w:rPr>
          <w:rFonts w:ascii="David" w:hAnsi="David"/>
          <w:rtl/>
        </w:rPr>
        <w:tab/>
        <w:t xml:space="preserve">מצנן. זאת ועוד, </w:t>
      </w:r>
      <w:r w:rsidRPr="007D190C">
        <w:rPr>
          <w:rFonts w:ascii="David" w:hAnsi="David"/>
          <w:rtl/>
        </w:rPr>
        <w:tab/>
        <w:t xml:space="preserve">לצערנו, בעידן של היום, זהו לעיתים המחיר של השיח החשוף ברשתות </w:t>
      </w:r>
      <w:r w:rsidRPr="007D190C">
        <w:rPr>
          <w:rFonts w:ascii="David" w:hAnsi="David"/>
          <w:rtl/>
        </w:rPr>
        <w:tab/>
        <w:t xml:space="preserve">החברתיות, והקלות הבלתי נסבלת שבו נוטלים אנשים את החירות לבקר ולהביע דעה בהינף </w:t>
      </w:r>
      <w:r w:rsidRPr="007D190C">
        <w:rPr>
          <w:rFonts w:ascii="David" w:hAnsi="David"/>
          <w:rtl/>
        </w:rPr>
        <w:tab/>
        <w:t>קולמוס</w:t>
      </w:r>
      <w:r w:rsidRPr="007D190C">
        <w:rPr>
          <w:rFonts w:ascii="David" w:hAnsi="David"/>
          <w:rtl/>
        </w:rPr>
        <w:t xml:space="preserve"> או מקלדת, גם אם היא פוגעת ומכפישה, ללא אחריות, ללא ביקורת עצמית ולעיתים </w:t>
      </w:r>
      <w:r w:rsidRPr="007D190C">
        <w:rPr>
          <w:rFonts w:ascii="David" w:hAnsi="David"/>
          <w:rtl/>
        </w:rPr>
        <w:tab/>
        <w:t xml:space="preserve">ללא ידיעת מלוא העובדות. בכל מקרה, לא שמענו כי בהיבט ספציפי זה ניתן לגלגל אשמה או </w:t>
      </w:r>
      <w:r w:rsidRPr="007D190C">
        <w:rPr>
          <w:rFonts w:ascii="David" w:hAnsi="David"/>
          <w:rtl/>
        </w:rPr>
        <w:tab/>
        <w:t>אחריות על הנאשם.</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jc w:val="both"/>
        <w:rPr>
          <w:rFonts w:ascii="David" w:hAnsi="David"/>
          <w:b/>
          <w:bCs/>
          <w:u w:val="single"/>
          <w:rtl/>
        </w:rPr>
      </w:pPr>
      <w:r w:rsidRPr="007D190C">
        <w:rPr>
          <w:rFonts w:ascii="David" w:hAnsi="David"/>
          <w:rtl/>
        </w:rPr>
        <w:tab/>
      </w:r>
      <w:r w:rsidRPr="007D190C">
        <w:rPr>
          <w:rFonts w:ascii="David" w:hAnsi="David"/>
          <w:b/>
          <w:bCs/>
          <w:u w:val="single"/>
          <w:rtl/>
        </w:rPr>
        <w:t>קטינותו של הנאשם וגילו הצעיר</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jc w:val="both"/>
        <w:rPr>
          <w:rFonts w:ascii="David" w:hAnsi="David"/>
          <w:rtl/>
        </w:rPr>
      </w:pPr>
      <w:r w:rsidRPr="007D190C">
        <w:rPr>
          <w:rFonts w:ascii="David" w:hAnsi="David"/>
          <w:rtl/>
        </w:rPr>
        <w:t>8.5</w:t>
      </w:r>
      <w:r w:rsidRPr="007D190C">
        <w:rPr>
          <w:rFonts w:ascii="David" w:hAnsi="David"/>
          <w:rtl/>
        </w:rPr>
        <w:tab/>
        <w:t>בצד ההתייחסות המחמירה שיש לתת לעובדה שהמתלוננות</w:t>
      </w:r>
      <w:r w:rsidRPr="007D190C">
        <w:rPr>
          <w:rFonts w:ascii="David" w:hAnsi="David"/>
          <w:rtl/>
        </w:rPr>
        <w:t xml:space="preserve"> היו ועודן קטינות, לא ניתן על </w:t>
      </w:r>
      <w:r w:rsidRPr="007D190C">
        <w:rPr>
          <w:rFonts w:ascii="David" w:hAnsi="David"/>
          <w:rtl/>
        </w:rPr>
        <w:tab/>
        <w:t xml:space="preserve">פי דין להתעלם מהעובדה שכך גם הנאשם, שהוא בן גילן של הנפגעות. לא הייתי מדגישה </w:t>
      </w:r>
      <w:r w:rsidRPr="007D190C">
        <w:rPr>
          <w:rFonts w:ascii="David" w:hAnsi="David"/>
          <w:rtl/>
        </w:rPr>
        <w:lastRenderedPageBreak/>
        <w:tab/>
        <w:t xml:space="preserve">עניין זה שוב, אלמלא טיעוני המאשימה שביקשה שלא לייחס משקל, או למצער משקל של </w:t>
      </w:r>
      <w:r w:rsidRPr="007D190C">
        <w:rPr>
          <w:rFonts w:ascii="David" w:hAnsi="David"/>
          <w:rtl/>
        </w:rPr>
        <w:tab/>
        <w:t>ממש, לעובדה זו.</w:t>
      </w:r>
    </w:p>
    <w:p w:rsidR="007D190C" w:rsidRPr="007D190C" w:rsidRDefault="00DE4D55" w:rsidP="007D190C">
      <w:pPr>
        <w:spacing w:line="360" w:lineRule="auto"/>
        <w:jc w:val="both"/>
        <w:rPr>
          <w:rFonts w:ascii="David" w:hAnsi="David"/>
          <w:rtl/>
        </w:rPr>
      </w:pPr>
      <w:r w:rsidRPr="007D190C">
        <w:rPr>
          <w:rFonts w:ascii="David" w:hAnsi="David"/>
          <w:rtl/>
        </w:rPr>
        <w:tab/>
        <w:t>אין צורך להזכיר שמותב זה דן בעונשו של הנאשם בשבתו כבית</w:t>
      </w:r>
      <w:r w:rsidRPr="007D190C">
        <w:rPr>
          <w:rFonts w:ascii="David" w:hAnsi="David"/>
          <w:rtl/>
        </w:rPr>
        <w:t xml:space="preserve"> משפט לנוער, על כל </w:t>
      </w:r>
      <w:r w:rsidRPr="007D190C">
        <w:rPr>
          <w:rFonts w:ascii="David" w:hAnsi="David"/>
          <w:rtl/>
        </w:rPr>
        <w:tab/>
        <w:t xml:space="preserve">המשמעויות וההוראות שנלוות לכך על פי חוק הנוער והפסיקה. בעת ביצוע העבירות – היא  </w:t>
      </w:r>
      <w:r w:rsidRPr="007D190C">
        <w:rPr>
          <w:rFonts w:ascii="David" w:hAnsi="David"/>
          <w:rtl/>
        </w:rPr>
        <w:tab/>
        <w:t xml:space="preserve">נקודת הזמן הרלוונטית לצורך התייחסותנו – הנאשם היה בן 13-15 שנים, רחוק מאד מגיל </w:t>
      </w:r>
      <w:r w:rsidRPr="007D190C">
        <w:rPr>
          <w:rFonts w:ascii="David" w:hAnsi="David"/>
          <w:rtl/>
        </w:rPr>
        <w:tab/>
        <w:t xml:space="preserve">הבגרות הן בהיבט הכרונולוגי והן בהיבט המנטלי.  </w:t>
      </w:r>
    </w:p>
    <w:p w:rsidR="007D190C" w:rsidRPr="007D190C" w:rsidRDefault="00DE4D55" w:rsidP="007D190C">
      <w:pPr>
        <w:spacing w:line="360" w:lineRule="auto"/>
        <w:jc w:val="both"/>
        <w:rPr>
          <w:rFonts w:ascii="David" w:hAnsi="David"/>
          <w:rtl/>
        </w:rPr>
      </w:pPr>
      <w:r w:rsidRPr="007D190C">
        <w:rPr>
          <w:rFonts w:ascii="David" w:hAnsi="David"/>
          <w:rtl/>
        </w:rPr>
        <w:tab/>
        <w:t>לא ניתן לקבל את טענת המאשימ</w:t>
      </w:r>
      <w:r w:rsidRPr="007D190C">
        <w:rPr>
          <w:rFonts w:ascii="David" w:hAnsi="David"/>
          <w:rtl/>
        </w:rPr>
        <w:t xml:space="preserve">ה כי עובדה זו מתגמדת בהינתן גילו הנוכחי של </w:t>
      </w:r>
      <w:r w:rsidRPr="007D190C">
        <w:rPr>
          <w:rFonts w:ascii="David" w:hAnsi="David"/>
          <w:rtl/>
        </w:rPr>
        <w:tab/>
        <w:t xml:space="preserve">הנאשם (17.3 שנים) ו/או משום שלכאורה, לדעתה, מעשיו לא היו "מעשים ילדיים". לא זו </w:t>
      </w:r>
      <w:r w:rsidRPr="007D190C">
        <w:rPr>
          <w:rFonts w:ascii="David" w:hAnsi="David"/>
          <w:rtl/>
        </w:rPr>
        <w:tab/>
        <w:t xml:space="preserve">בלבד שהמועד הקובע הוא גיל הנאשם בעת ביצוע העבירות, אלא שכידוע, היכולת הפיזית </w:t>
      </w:r>
      <w:r w:rsidRPr="007D190C">
        <w:rPr>
          <w:rFonts w:ascii="David" w:hAnsi="David"/>
          <w:rtl/>
        </w:rPr>
        <w:tab/>
        <w:t>לבצע מעשים "של מבוגרים" איננה מלמדת בהכרח על יכולת הבנ</w:t>
      </w:r>
      <w:r w:rsidRPr="007D190C">
        <w:rPr>
          <w:rFonts w:ascii="David" w:hAnsi="David"/>
          <w:rtl/>
        </w:rPr>
        <w:t xml:space="preserve">ה או תובנה של מבוגרים. </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ind w:left="720"/>
        <w:jc w:val="both"/>
        <w:rPr>
          <w:rFonts w:ascii="David" w:hAnsi="David"/>
          <w:rtl/>
        </w:rPr>
      </w:pPr>
      <w:r w:rsidRPr="007D190C">
        <w:rPr>
          <w:rFonts w:ascii="David" w:hAnsi="David"/>
          <w:rtl/>
        </w:rPr>
        <w:t>בפן הנורמטיבי, מאחורי ההתייחסות העונשית המיוחדת כלפי קטינים קיימות סיבות ומטרות שהחוק והפסיקה הכירו בהם. כך למשל, ההכרה שהנאשם הקטין הוא אדם שאיננו בשל דיו, שהוא נעדר את אותה הבנה שיש לאדם בגיר, שהוא חסר את הכוחות והתובנות להתגבר ע</w:t>
      </w:r>
      <w:r w:rsidRPr="007D190C">
        <w:rPr>
          <w:rFonts w:ascii="David" w:hAnsi="David"/>
          <w:rtl/>
        </w:rPr>
        <w:t xml:space="preserve">ל מניעיו ויצריו. </w:t>
      </w:r>
    </w:p>
    <w:p w:rsidR="007D190C" w:rsidRPr="007D190C" w:rsidRDefault="00DE4D55" w:rsidP="007D190C">
      <w:pPr>
        <w:spacing w:line="360" w:lineRule="auto"/>
        <w:jc w:val="both"/>
        <w:rPr>
          <w:rFonts w:ascii="David" w:hAnsi="David"/>
          <w:rtl/>
        </w:rPr>
      </w:pPr>
      <w:r w:rsidRPr="007D190C">
        <w:rPr>
          <w:rFonts w:ascii="David" w:hAnsi="David"/>
          <w:rtl/>
        </w:rPr>
        <w:tab/>
      </w:r>
    </w:p>
    <w:p w:rsidR="007D190C" w:rsidRPr="007D190C" w:rsidRDefault="00DE4D55" w:rsidP="007D190C">
      <w:pPr>
        <w:spacing w:line="360" w:lineRule="auto"/>
        <w:jc w:val="both"/>
        <w:rPr>
          <w:rFonts w:ascii="David" w:hAnsi="David"/>
          <w:rtl/>
        </w:rPr>
      </w:pPr>
      <w:r w:rsidRPr="007D190C">
        <w:rPr>
          <w:rFonts w:ascii="David" w:hAnsi="David"/>
          <w:rtl/>
        </w:rPr>
        <w:tab/>
        <w:t>יפים בעניין זה דבריו של בית משפט ב</w:t>
      </w:r>
      <w:hyperlink w:history="1">
        <w:r w:rsidRPr="007D190C">
          <w:rPr>
            <w:rFonts w:ascii="David" w:hAnsi="David"/>
            <w:color w:val="000000" w:themeColor="text1"/>
            <w:u w:val="single"/>
            <w:rtl/>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-Hyperlink Removed-</w:t>
        </w:r>
      </w:hyperlink>
      <w:r w:rsidRPr="007D190C">
        <w:rPr>
          <w:rFonts w:ascii="David" w:hAnsi="David"/>
          <w:rtl/>
        </w:rPr>
        <w:t xml:space="preserve"> </w:t>
      </w:r>
      <w:r w:rsidRPr="007D190C">
        <w:rPr>
          <w:rFonts w:ascii="David" w:hAnsi="David" w:hint="cs"/>
          <w:b/>
          <w:bCs/>
          <w:rtl/>
        </w:rPr>
        <w:t>מדינת ישראל נ' פלוני</w:t>
      </w:r>
      <w:r w:rsidRPr="007D190C">
        <w:rPr>
          <w:rFonts w:ascii="David" w:hAnsi="David" w:hint="cs"/>
          <w:rtl/>
        </w:rPr>
        <w:t xml:space="preserve"> (20.11.13) </w:t>
      </w:r>
      <w:r w:rsidRPr="007D190C">
        <w:rPr>
          <w:rFonts w:ascii="David" w:hAnsi="David" w:hint="cs"/>
          <w:rtl/>
        </w:rPr>
        <w:tab/>
        <w:t xml:space="preserve">אשר עמד הן על העדר הבגרות והבשלות של קטין ככזה, ובנוסף התייחס לסיבות </w:t>
      </w:r>
      <w:r w:rsidRPr="007D190C">
        <w:rPr>
          <w:rFonts w:ascii="David" w:hAnsi="David" w:hint="cs"/>
          <w:rtl/>
        </w:rPr>
        <w:tab/>
        <w:t xml:space="preserve">נוספות </w:t>
      </w:r>
      <w:r w:rsidRPr="007D190C">
        <w:rPr>
          <w:rFonts w:ascii="David" w:hAnsi="David" w:hint="cs"/>
          <w:rtl/>
        </w:rPr>
        <w:tab/>
        <w:t>שבבסיס הענישה המיוחדת לגבי קטי</w:t>
      </w:r>
      <w:r w:rsidRPr="007D190C">
        <w:rPr>
          <w:rFonts w:ascii="David" w:hAnsi="David" w:hint="cs"/>
          <w:rtl/>
        </w:rPr>
        <w:t xml:space="preserve">נים, לרבות המשמעות של מאסר בכלא עבור </w:t>
      </w:r>
      <w:r w:rsidRPr="007D190C">
        <w:rPr>
          <w:rFonts w:ascii="David" w:hAnsi="David" w:hint="cs"/>
          <w:rtl/>
        </w:rPr>
        <w:tab/>
        <w:t>קטין, וחשיבות השיקום.</w:t>
      </w:r>
    </w:p>
    <w:p w:rsidR="007D190C" w:rsidRPr="007D190C" w:rsidRDefault="00DE4D55" w:rsidP="007D190C">
      <w:pPr>
        <w:spacing w:line="360" w:lineRule="auto"/>
        <w:jc w:val="both"/>
        <w:rPr>
          <w:rFonts w:ascii="David" w:hAnsi="David"/>
          <w:rtl/>
        </w:rPr>
      </w:pPr>
      <w:r w:rsidRPr="007D190C">
        <w:rPr>
          <w:rFonts w:ascii="David" w:hAnsi="David"/>
          <w:rtl/>
        </w:rPr>
        <w:tab/>
      </w:r>
    </w:p>
    <w:p w:rsidR="007D190C" w:rsidRPr="007D190C" w:rsidRDefault="00DE4D55" w:rsidP="007D190C">
      <w:pPr>
        <w:spacing w:line="360" w:lineRule="auto"/>
        <w:jc w:val="both"/>
        <w:rPr>
          <w:rFonts w:ascii="David" w:hAnsi="David"/>
          <w:rtl/>
        </w:rPr>
      </w:pPr>
      <w:r w:rsidRPr="007D190C">
        <w:rPr>
          <w:rFonts w:ascii="David" w:hAnsi="David"/>
          <w:rtl/>
        </w:rPr>
        <w:tab/>
        <w:t>"</w:t>
      </w:r>
      <w:r w:rsidRPr="007D190C">
        <w:rPr>
          <w:rFonts w:ascii="David" w:hAnsi="David"/>
          <w:b/>
          <w:bCs/>
          <w:rtl/>
        </w:rPr>
        <w:t xml:space="preserve">בבואו לגזור את דינו של קטין שהורשע בפלילים בכלל, ובעבירות מין בפרט, מקנה בית </w:t>
      </w:r>
      <w:r w:rsidRPr="007D190C">
        <w:rPr>
          <w:rFonts w:ascii="David" w:hAnsi="David"/>
          <w:b/>
          <w:bCs/>
          <w:rtl/>
        </w:rPr>
        <w:tab/>
        <w:t xml:space="preserve">המשפט משקל יתר לנסיבותיו האישיות של הקטין ולסיכוייו להשתקם. מדיניות זו </w:t>
      </w:r>
      <w:r w:rsidRPr="007D190C">
        <w:rPr>
          <w:rFonts w:ascii="David" w:hAnsi="David"/>
          <w:b/>
          <w:bCs/>
          <w:rtl/>
        </w:rPr>
        <w:tab/>
        <w:t xml:space="preserve">מושתתת על שלושה טעמים עיקריים: האחד, גילו </w:t>
      </w:r>
      <w:r w:rsidRPr="007D190C">
        <w:rPr>
          <w:rFonts w:ascii="David" w:hAnsi="David"/>
          <w:b/>
          <w:bCs/>
          <w:rtl/>
        </w:rPr>
        <w:t xml:space="preserve">הצעיר של הקטין, הגורם לכך </w:t>
      </w:r>
      <w:r w:rsidRPr="007D190C">
        <w:rPr>
          <w:rFonts w:ascii="David" w:hAnsi="David"/>
          <w:b/>
          <w:bCs/>
          <w:rtl/>
        </w:rPr>
        <w:tab/>
        <w:t xml:space="preserve">שהתנהגותו העבריינית עלולה להיות תוצאה של חוסר בגרות, בשלות והבנה של חומרת </w:t>
      </w:r>
      <w:r w:rsidRPr="007D190C">
        <w:rPr>
          <w:rFonts w:ascii="David" w:hAnsi="David"/>
          <w:b/>
          <w:bCs/>
          <w:rtl/>
        </w:rPr>
        <w:tab/>
        <w:t xml:space="preserve">המעשים והשלכותיהם; שנית, הרצון להגן על קטינים מפני תנאי כליאה קשים </w:t>
      </w:r>
      <w:r w:rsidRPr="007D190C">
        <w:rPr>
          <w:rFonts w:ascii="David" w:hAnsi="David"/>
          <w:b/>
          <w:bCs/>
          <w:rtl/>
        </w:rPr>
        <w:tab/>
        <w:t xml:space="preserve">ומהיחשפות לדפוסי התנהגות עבריינית בבית הסוהר שעלולה להיטמע בקטינים ולפגוע </w:t>
      </w:r>
      <w:r w:rsidRPr="007D190C">
        <w:rPr>
          <w:rFonts w:ascii="David" w:hAnsi="David"/>
          <w:b/>
          <w:bCs/>
          <w:rtl/>
        </w:rPr>
        <w:tab/>
        <w:t>בסיכוייהם ל</w:t>
      </w:r>
      <w:r w:rsidRPr="007D190C">
        <w:rPr>
          <w:rFonts w:ascii="David" w:hAnsi="David"/>
          <w:b/>
          <w:bCs/>
          <w:rtl/>
        </w:rPr>
        <w:t xml:space="preserve">השתקם; ושלישית, השאיפה לשקם קטינים שחייהם בתחילת דרכם לפני </w:t>
      </w:r>
      <w:r w:rsidRPr="007D190C">
        <w:rPr>
          <w:rFonts w:ascii="David" w:hAnsi="David"/>
          <w:b/>
          <w:bCs/>
          <w:rtl/>
        </w:rPr>
        <w:tab/>
        <w:t xml:space="preserve">שתוחמץ ההזדמנות לכך </w:t>
      </w:r>
      <w:r w:rsidRPr="007D190C">
        <w:rPr>
          <w:rFonts w:ascii="David" w:hAnsi="David"/>
          <w:b/>
          <w:color w:val="000000" w:themeColor="text1"/>
          <w:rtl/>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hyperlink w:history="1">
        <w:r w:rsidRPr="007D190C">
          <w:rPr>
            <w:rFonts w:ascii="David" w:hAnsi="David"/>
            <w:b/>
            <w:color w:val="000000" w:themeColor="text1"/>
            <w:u w:val="single"/>
            <w:rtl/>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-Hyperlink Removed-</w:t>
        </w:r>
      </w:hyperlink>
      <w:r w:rsidRPr="007D190C">
        <w:rPr>
          <w:rFonts w:ascii="David" w:hAnsi="David"/>
          <w:b/>
          <w:bCs/>
          <w:rtl/>
        </w:rPr>
        <w:t xml:space="preserve"> מדינת ישראל נ' פלוני, פסקה 9 (8.3.2009))</w:t>
      </w:r>
      <w:r w:rsidRPr="007D190C">
        <w:rPr>
          <w:rFonts w:ascii="David" w:hAnsi="David"/>
          <w:rtl/>
        </w:rPr>
        <w:t>"</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jc w:val="both"/>
        <w:rPr>
          <w:rFonts w:ascii="David" w:hAnsi="David"/>
          <w:rtl/>
        </w:rPr>
      </w:pPr>
      <w:r w:rsidRPr="007D190C">
        <w:rPr>
          <w:rFonts w:ascii="David" w:hAnsi="David"/>
          <w:rtl/>
        </w:rPr>
        <w:tab/>
        <w:t xml:space="preserve">בית המשפט עמד ברורות על ההבחנה העקרונית בין ענישת קטינים לענישת בגירים תוך </w:t>
      </w:r>
      <w:r w:rsidRPr="007D190C">
        <w:rPr>
          <w:rFonts w:ascii="David" w:hAnsi="David"/>
          <w:rtl/>
        </w:rPr>
        <w:tab/>
        <w:t>הסטת המשקל מעקרון הגמול לסיכויי השיקום, ותוך מתן</w:t>
      </w:r>
      <w:r w:rsidRPr="007D190C">
        <w:rPr>
          <w:rFonts w:ascii="David" w:hAnsi="David"/>
          <w:rtl/>
        </w:rPr>
        <w:t xml:space="preserve"> משקל בכורה דווקא לאחרון. </w:t>
      </w:r>
      <w:r w:rsidRPr="007D190C">
        <w:rPr>
          <w:rFonts w:ascii="David" w:hAnsi="David"/>
          <w:rtl/>
        </w:rPr>
        <w:tab/>
        <w:t xml:space="preserve">כך נאמר </w:t>
      </w:r>
      <w:r w:rsidRPr="007D190C">
        <w:rPr>
          <w:rFonts w:ascii="David" w:hAnsi="David"/>
          <w:color w:val="000000" w:themeColor="text1"/>
          <w:rtl/>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ב</w:t>
      </w:r>
      <w:hyperlink w:history="1">
        <w:r w:rsidRPr="007D190C">
          <w:rPr>
            <w:rFonts w:ascii="David" w:hAnsi="David"/>
            <w:color w:val="000000" w:themeColor="text1"/>
            <w:u w:val="single"/>
            <w:rtl/>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-Hyperlink Removed-</w:t>
        </w:r>
      </w:hyperlink>
      <w:r w:rsidRPr="007D190C">
        <w:rPr>
          <w:rFonts w:ascii="David" w:hAnsi="David"/>
          <w:rtl/>
        </w:rPr>
        <w:t xml:space="preserve"> </w:t>
      </w:r>
      <w:r w:rsidRPr="007D190C">
        <w:rPr>
          <w:rFonts w:ascii="David" w:hAnsi="David" w:hint="cs"/>
          <w:b/>
          <w:bCs/>
          <w:rtl/>
        </w:rPr>
        <w:t xml:space="preserve">פלוני נ' מדינת ישראל </w:t>
      </w:r>
      <w:r w:rsidRPr="007D190C">
        <w:rPr>
          <w:rFonts w:ascii="David" w:hAnsi="David" w:hint="cs"/>
          <w:rtl/>
        </w:rPr>
        <w:t>(04.08.16):</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jc w:val="both"/>
        <w:rPr>
          <w:rFonts w:ascii="David" w:hAnsi="David"/>
          <w:rtl/>
        </w:rPr>
      </w:pPr>
      <w:r w:rsidRPr="007D190C">
        <w:rPr>
          <w:rFonts w:ascii="David" w:hAnsi="David"/>
          <w:rtl/>
        </w:rPr>
        <w:tab/>
        <w:t>"</w:t>
      </w:r>
      <w:r w:rsidRPr="007D190C">
        <w:rPr>
          <w:rFonts w:ascii="David" w:hAnsi="David"/>
          <w:b/>
          <w:bCs/>
          <w:rtl/>
        </w:rPr>
        <w:t>כידוע, אין ענישתו של קטין כענישת בגיר. לאחר תיקון 113</w:t>
      </w:r>
      <w:r w:rsidRPr="007D190C">
        <w:rPr>
          <w:rFonts w:ascii="David" w:hAnsi="David"/>
          <w:bCs/>
          <w:rtl/>
        </w:rPr>
        <w:t xml:space="preserve"> </w:t>
      </w:r>
      <w:r w:rsidRPr="007D190C">
        <w:rPr>
          <w:rFonts w:ascii="David" w:hAnsi="David"/>
          <w:bCs/>
          <w:color w:val="000000" w:themeColor="text1"/>
          <w:rtl/>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ל</w:t>
      </w:r>
      <w:hyperlink w:history="1">
        <w:r w:rsidRPr="007D190C">
          <w:rPr>
            <w:rFonts w:ascii="David" w:hAnsi="David"/>
            <w:bCs/>
            <w:color w:val="000000" w:themeColor="text1"/>
            <w:u w:val="single"/>
            <w:rtl/>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-Hyperlink Removed-</w:t>
        </w:r>
      </w:hyperlink>
      <w:r w:rsidRPr="007D190C">
        <w:rPr>
          <w:rFonts w:ascii="David" w:hAnsi="David"/>
          <w:b/>
          <w:bCs/>
          <w:rtl/>
        </w:rPr>
        <w:t xml:space="preserve">, עקרון-העל </w:t>
      </w:r>
      <w:r w:rsidRPr="007D190C">
        <w:rPr>
          <w:rFonts w:ascii="David" w:hAnsi="David"/>
          <w:b/>
          <w:bCs/>
          <w:rtl/>
        </w:rPr>
        <w:tab/>
        <w:t xml:space="preserve">בענישת בגירים הוא עקרון ההלימה (ראו למשל: </w:t>
      </w:r>
      <w:hyperlink w:history="1">
        <w:r w:rsidRPr="007D190C">
          <w:rPr>
            <w:rFonts w:ascii="David" w:hAnsi="David"/>
            <w:bCs/>
            <w:color w:val="000000" w:themeColor="text1"/>
            <w:u w:val="single"/>
            <w:rtl/>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-Hyperlink Removed-</w:t>
        </w:r>
      </w:hyperlink>
      <w:r w:rsidRPr="007D190C">
        <w:rPr>
          <w:rFonts w:ascii="David" w:hAnsi="David"/>
          <w:bCs/>
          <w:color w:val="000000" w:themeColor="text1"/>
          <w:rtl/>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Pr="007D190C">
        <w:rPr>
          <w:rFonts w:ascii="David" w:hAnsi="David"/>
          <w:b/>
          <w:bCs/>
          <w:rtl/>
        </w:rPr>
        <w:t xml:space="preserve">פלוני נ' מדינת ישראל, </w:t>
      </w:r>
      <w:r w:rsidRPr="007D190C">
        <w:rPr>
          <w:rFonts w:ascii="David" w:hAnsi="David"/>
          <w:b/>
          <w:bCs/>
          <w:rtl/>
        </w:rPr>
        <w:tab/>
        <w:t>[פורסם בנבו] בפסקה 55 (22.5.2016)). כך מורה סעיף 40ב ל</w:t>
      </w:r>
      <w:hyperlink w:history="1">
        <w:r w:rsidRPr="007D190C">
          <w:rPr>
            <w:rFonts w:ascii="David" w:hAnsi="David"/>
            <w:bCs/>
            <w:color w:val="000000" w:themeColor="text1"/>
            <w:u w:val="single"/>
            <w:rtl/>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-Hyperlink Removed-</w:t>
        </w:r>
      </w:hyperlink>
      <w:r w:rsidRPr="007D190C">
        <w:rPr>
          <w:rFonts w:ascii="David" w:hAnsi="David"/>
          <w:bCs/>
          <w:color w:val="000000" w:themeColor="text1"/>
          <w:rtl/>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Pr="007D190C">
        <w:rPr>
          <w:rFonts w:ascii="David" w:hAnsi="David"/>
          <w:b/>
          <w:bCs/>
          <w:rtl/>
        </w:rPr>
        <w:t xml:space="preserve">שלפיו </w:t>
      </w:r>
      <w:r w:rsidRPr="007D190C">
        <w:rPr>
          <w:rFonts w:ascii="David" w:hAnsi="David"/>
          <w:b/>
          <w:bCs/>
          <w:rtl/>
        </w:rPr>
        <w:tab/>
        <w:t xml:space="preserve">"העיקרון המנחה בענישה הוא קיומו של יחס הולם בין חומרת מעשה העבירה בנסיבותיו </w:t>
      </w:r>
      <w:r w:rsidRPr="007D190C">
        <w:rPr>
          <w:rFonts w:ascii="David" w:hAnsi="David"/>
          <w:b/>
          <w:bCs/>
          <w:rtl/>
        </w:rPr>
        <w:tab/>
        <w:t>ומידת אשמו של הנאשם</w:t>
      </w:r>
      <w:r w:rsidRPr="007D190C">
        <w:rPr>
          <w:rFonts w:ascii="David" w:hAnsi="David"/>
          <w:b/>
          <w:bCs/>
          <w:rtl/>
        </w:rPr>
        <w:t xml:space="preserve"> ובין סוג ומידת העונש המוטל עליו". עקרון ההלימה נגזר </w:t>
      </w:r>
      <w:r w:rsidRPr="007D190C">
        <w:rPr>
          <w:rFonts w:ascii="David" w:hAnsi="David"/>
          <w:b/>
          <w:bCs/>
          <w:rtl/>
        </w:rPr>
        <w:tab/>
        <w:t xml:space="preserve">מעקרון הגמול – שהוא צופה פני עבר, מבחינה זו שהעונש נקבע בעיקר בהתאם למידת </w:t>
      </w:r>
      <w:r w:rsidRPr="007D190C">
        <w:rPr>
          <w:rFonts w:ascii="David" w:hAnsi="David"/>
          <w:b/>
          <w:bCs/>
          <w:rtl/>
        </w:rPr>
        <w:tab/>
        <w:t xml:space="preserve">הרע שעשה הנאשם ומידת אשמתו (ראו: יורם רבין ויניב ואקי </w:t>
      </w:r>
      <w:hyperlink w:history="1">
        <w:r w:rsidRPr="007D190C">
          <w:rPr>
            <w:rFonts w:ascii="David" w:hAnsi="David"/>
            <w:bCs/>
            <w:color w:val="000000" w:themeColor="text1"/>
            <w:u w:val="single"/>
            <w:rtl/>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-Hyperlink Removed-</w:t>
        </w:r>
      </w:hyperlink>
      <w:r w:rsidRPr="007D190C">
        <w:rPr>
          <w:rFonts w:ascii="David" w:hAnsi="David"/>
          <w:bCs/>
          <w:color w:val="000000" w:themeColor="text1"/>
          <w:rtl/>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Pr="007D190C">
        <w:rPr>
          <w:rFonts w:ascii="David" w:hAnsi="David"/>
          <w:b/>
          <w:bCs/>
          <w:rtl/>
        </w:rPr>
        <w:t xml:space="preserve">כרך ג עמ' </w:t>
      </w:r>
      <w:r w:rsidRPr="007D190C">
        <w:rPr>
          <w:rFonts w:ascii="David" w:hAnsi="David"/>
          <w:b/>
          <w:bCs/>
          <w:rtl/>
        </w:rPr>
        <w:tab/>
        <w:t>1463-1462 (201</w:t>
      </w:r>
      <w:r w:rsidRPr="007D190C">
        <w:rPr>
          <w:rFonts w:ascii="David" w:hAnsi="David"/>
          <w:b/>
          <w:bCs/>
          <w:rtl/>
        </w:rPr>
        <w:t xml:space="preserve">4); להלן: רבין וואקי). לעומת זאת, בענישת קטינים הבכורה נתונה </w:t>
      </w:r>
      <w:r w:rsidRPr="007D190C">
        <w:rPr>
          <w:rFonts w:ascii="David" w:hAnsi="David"/>
          <w:b/>
          <w:bCs/>
          <w:rtl/>
        </w:rPr>
        <w:tab/>
        <w:t xml:space="preserve">לשיקולי שיקום, שמעצם טיבם צופים פני עתיד: "כאשר בקטינים עסקינן, זוכה שיקול </w:t>
      </w:r>
      <w:r w:rsidRPr="007D190C">
        <w:rPr>
          <w:rFonts w:ascii="David" w:hAnsi="David"/>
          <w:b/>
          <w:bCs/>
          <w:rtl/>
        </w:rPr>
        <w:tab/>
        <w:t xml:space="preserve">השיקום של הקטינים למשקל מוגבר, בשל האינטרס החברתי בהשבתם למוטב. כמו כן, </w:t>
      </w:r>
      <w:r w:rsidRPr="007D190C">
        <w:rPr>
          <w:rFonts w:ascii="David" w:hAnsi="David"/>
          <w:b/>
          <w:bCs/>
          <w:rtl/>
        </w:rPr>
        <w:tab/>
        <w:t xml:space="preserve">מוענק משקל רב במיוחד לנסיבות האישיות של קטין </w:t>
      </w:r>
      <w:r w:rsidRPr="007D190C">
        <w:rPr>
          <w:rFonts w:ascii="David" w:hAnsi="David"/>
          <w:b/>
          <w:bCs/>
          <w:rtl/>
        </w:rPr>
        <w:t xml:space="preserve">ולגילו, בשל ההנחה שהקטין טרם </w:t>
      </w:r>
      <w:r w:rsidRPr="007D190C">
        <w:rPr>
          <w:rFonts w:ascii="David" w:hAnsi="David"/>
          <w:b/>
          <w:bCs/>
          <w:rtl/>
        </w:rPr>
        <w:tab/>
        <w:t xml:space="preserve">מצוי בשלב בו התגבשה אישיותו סופית, ועל כן עוד לא חלפה ההזדמנות להשיבו למוטב" </w:t>
      </w:r>
      <w:r w:rsidRPr="007D190C">
        <w:rPr>
          <w:rFonts w:ascii="David" w:hAnsi="David"/>
          <w:b/>
          <w:bCs/>
          <w:rtl/>
        </w:rPr>
        <w:tab/>
      </w:r>
      <w:r w:rsidRPr="007D190C">
        <w:rPr>
          <w:rFonts w:ascii="David" w:hAnsi="David"/>
          <w:bCs/>
          <w:color w:val="000000" w:themeColor="text1"/>
          <w:rtl/>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hyperlink w:history="1">
        <w:r w:rsidRPr="007D190C">
          <w:rPr>
            <w:rFonts w:ascii="David" w:hAnsi="David"/>
            <w:bCs/>
            <w:color w:val="000000" w:themeColor="text1"/>
            <w:u w:val="single"/>
            <w:rtl/>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-Hyperlink Removed-</w:t>
        </w:r>
      </w:hyperlink>
      <w:r w:rsidRPr="007D190C">
        <w:rPr>
          <w:rFonts w:ascii="David" w:hAnsi="David"/>
          <w:bCs/>
          <w:color w:val="000000" w:themeColor="text1"/>
          <w:rtl/>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Pr="007D190C">
        <w:rPr>
          <w:rFonts w:ascii="David" w:hAnsi="David"/>
          <w:b/>
          <w:bCs/>
          <w:rtl/>
        </w:rPr>
        <w:t>פלוני נ' מדינת ישראל, בפסק</w:t>
      </w:r>
      <w:r w:rsidRPr="007D190C">
        <w:rPr>
          <w:rFonts w:ascii="David" w:hAnsi="David"/>
          <w:b/>
          <w:bCs/>
          <w:rtl/>
        </w:rPr>
        <w:t>ה 24 [פורסם בנבו] (27.10.2015)</w:t>
      </w:r>
      <w:r w:rsidRPr="007D190C">
        <w:rPr>
          <w:rFonts w:ascii="David" w:hAnsi="David"/>
          <w:rtl/>
        </w:rPr>
        <w:t>".</w:t>
      </w:r>
    </w:p>
    <w:p w:rsidR="007D190C" w:rsidRPr="007D190C" w:rsidRDefault="00DE4D55" w:rsidP="007D190C">
      <w:pPr>
        <w:spacing w:line="360" w:lineRule="auto"/>
        <w:jc w:val="both"/>
        <w:rPr>
          <w:rFonts w:ascii="David" w:hAnsi="David"/>
          <w:rtl/>
        </w:rPr>
      </w:pPr>
      <w:r w:rsidRPr="007D190C">
        <w:rPr>
          <w:rFonts w:ascii="David" w:hAnsi="David"/>
        </w:rPr>
        <w:tab/>
      </w:r>
    </w:p>
    <w:p w:rsidR="007D190C" w:rsidRPr="007D190C" w:rsidRDefault="00DE4D55" w:rsidP="007D190C">
      <w:pPr>
        <w:spacing w:line="360" w:lineRule="auto"/>
        <w:jc w:val="both"/>
        <w:rPr>
          <w:rFonts w:ascii="David" w:hAnsi="David"/>
          <w:rtl/>
        </w:rPr>
      </w:pPr>
      <w:r w:rsidRPr="007D190C">
        <w:rPr>
          <w:rFonts w:ascii="David" w:hAnsi="David"/>
          <w:rtl/>
        </w:rPr>
        <w:tab/>
      </w:r>
      <w:r w:rsidRPr="007D190C">
        <w:rPr>
          <w:rFonts w:ascii="David" w:hAnsi="David"/>
          <w:u w:val="single"/>
          <w:rtl/>
        </w:rPr>
        <w:t>עוד נאמר בפסיקה לגבי שיקום קטינים, והאינטרס המיוחד שקיים לשיקום ולמשמעותו</w:t>
      </w:r>
      <w:r w:rsidRPr="007D190C">
        <w:rPr>
          <w:rFonts w:ascii="David" w:hAnsi="David"/>
          <w:rtl/>
        </w:rPr>
        <w:t>:</w:t>
      </w:r>
    </w:p>
    <w:p w:rsidR="007D190C" w:rsidRPr="007D190C" w:rsidRDefault="007D190C" w:rsidP="007D190C">
      <w:pPr>
        <w:spacing w:line="360" w:lineRule="auto"/>
        <w:jc w:val="both"/>
        <w:rPr>
          <w:rFonts w:ascii="David" w:hAnsi="David"/>
          <w:rtl/>
        </w:rPr>
      </w:pPr>
    </w:p>
    <w:p w:rsidR="007D190C" w:rsidRPr="007D190C" w:rsidRDefault="00DE4D55" w:rsidP="007D190C">
      <w:pPr>
        <w:overflowPunct w:val="0"/>
        <w:autoSpaceDE w:val="0"/>
        <w:autoSpaceDN w:val="0"/>
        <w:spacing w:line="360" w:lineRule="auto"/>
        <w:ind w:left="720"/>
        <w:jc w:val="both"/>
        <w:rPr>
          <w:rFonts w:ascii="David" w:eastAsia="Calibri" w:hAnsi="David"/>
          <w:rtl/>
        </w:rPr>
      </w:pPr>
      <w:r w:rsidRPr="007D190C">
        <w:rPr>
          <w:rFonts w:ascii="David" w:eastAsia="Calibri" w:hAnsi="David"/>
          <w:b/>
          <w:bCs/>
          <w:rtl/>
        </w:rPr>
        <w:t>"...יושם אל לב כי אין בכך כדי להמעיט מחומרת העבירות ומחשיבותם של שיקולי ההרתעה והגמול, אלא שבמלאכת הענישה יש לאזן את אלה עם השיקול השיקומי, ובין</w:t>
      </w:r>
      <w:r w:rsidRPr="007D190C">
        <w:rPr>
          <w:rFonts w:ascii="David" w:eastAsia="Calibri" w:hAnsi="David"/>
          <w:b/>
          <w:bCs/>
          <w:rtl/>
        </w:rPr>
        <w:t xml:space="preserve"> היתר בשים לב למכלול הנתונים העדכניים. איזון זה חיוני לא רק מנקודת מבטם של המערערים, אלא גם מנקודת מבטו של הציבור, שהרי "מחויבותה של החברה [היא] לנסות ולמצוא כל דרך לשקם עבריינים קטינים שהורשעו בעבירה פלילית, אף אם חמורה, ולהעלותם על מסלול חיים תקין וראוי,</w:t>
      </w:r>
      <w:r w:rsidRPr="007D190C">
        <w:rPr>
          <w:rFonts w:ascii="David" w:eastAsia="Calibri" w:hAnsi="David"/>
          <w:b/>
          <w:bCs/>
          <w:rtl/>
        </w:rPr>
        <w:t xml:space="preserve"> בטרם תוחמץ ההזדמנות לכך" </w:t>
      </w:r>
      <w:r w:rsidRPr="007D190C">
        <w:rPr>
          <w:rFonts w:ascii="David" w:eastAsia="Calibri" w:hAnsi="David"/>
          <w:rtl/>
        </w:rPr>
        <w:t xml:space="preserve">(ע"פ 2206 </w:t>
      </w:r>
      <w:r w:rsidRPr="007D190C">
        <w:rPr>
          <w:rFonts w:ascii="David" w:eastAsia="Calibri" w:hAnsi="David"/>
          <w:b/>
          <w:bCs/>
          <w:rtl/>
        </w:rPr>
        <w:t>פלוני נ' מדינת ישראל</w:t>
      </w:r>
      <w:r w:rsidRPr="007D190C">
        <w:rPr>
          <w:rFonts w:ascii="David" w:eastAsia="Calibri" w:hAnsi="David"/>
          <w:rtl/>
        </w:rPr>
        <w:t xml:space="preserve"> (3.11.16) והמובאות שם). </w:t>
      </w:r>
    </w:p>
    <w:p w:rsidR="007D190C" w:rsidRPr="007D190C" w:rsidRDefault="007D190C" w:rsidP="007D190C">
      <w:pPr>
        <w:overflowPunct w:val="0"/>
        <w:autoSpaceDE w:val="0"/>
        <w:autoSpaceDN w:val="0"/>
        <w:spacing w:line="360" w:lineRule="auto"/>
        <w:ind w:left="720"/>
        <w:jc w:val="both"/>
        <w:rPr>
          <w:rFonts w:ascii="David" w:eastAsia="Calibri" w:hAnsi="David"/>
          <w:rtl/>
        </w:rPr>
      </w:pPr>
    </w:p>
    <w:p w:rsidR="007D190C" w:rsidRPr="007D190C" w:rsidRDefault="00DE4D55" w:rsidP="007D190C">
      <w:pPr>
        <w:overflowPunct w:val="0"/>
        <w:autoSpaceDE w:val="0"/>
        <w:autoSpaceDN w:val="0"/>
        <w:spacing w:line="360" w:lineRule="auto"/>
        <w:ind w:left="720"/>
        <w:jc w:val="both"/>
        <w:rPr>
          <w:rFonts w:ascii="David" w:eastAsia="Calibri" w:hAnsi="David"/>
          <w:rtl/>
        </w:rPr>
      </w:pPr>
      <w:r w:rsidRPr="007D190C">
        <w:rPr>
          <w:rFonts w:ascii="David" w:eastAsia="Calibri" w:hAnsi="David"/>
          <w:b/>
          <w:bCs/>
          <w:u w:val="single"/>
          <w:rtl/>
        </w:rPr>
        <w:t>ענישת קטינים עברייני מין</w:t>
      </w:r>
    </w:p>
    <w:p w:rsidR="007D190C" w:rsidRPr="007D190C" w:rsidRDefault="007D190C" w:rsidP="007D190C">
      <w:pPr>
        <w:spacing w:line="360" w:lineRule="auto"/>
        <w:jc w:val="both"/>
        <w:rPr>
          <w:rFonts w:ascii="David" w:eastAsia="Calibri" w:hAnsi="David"/>
          <w:rtl/>
        </w:rPr>
      </w:pPr>
    </w:p>
    <w:p w:rsidR="007D190C" w:rsidRPr="007D190C" w:rsidRDefault="00DE4D55" w:rsidP="007D190C">
      <w:pPr>
        <w:spacing w:line="360" w:lineRule="auto"/>
        <w:ind w:left="720" w:hanging="720"/>
        <w:jc w:val="both"/>
        <w:rPr>
          <w:rFonts w:ascii="David" w:hAnsi="David"/>
          <w:rtl/>
        </w:rPr>
      </w:pPr>
      <w:r w:rsidRPr="007D190C">
        <w:rPr>
          <w:rFonts w:ascii="David" w:hAnsi="David"/>
          <w:rtl/>
        </w:rPr>
        <w:t>8.6</w:t>
      </w:r>
      <w:r w:rsidRPr="007D190C">
        <w:rPr>
          <w:rFonts w:ascii="David" w:hAnsi="David"/>
          <w:rtl/>
        </w:rPr>
        <w:tab/>
        <w:t>מעיון בפסיקה הדנה בקטינים המעורבים בביצוע עבירות מין, ניתן ללמוד על מנעד רחב מאוד של ענישה, כפונקציה של מכלול הנסיבות, אגב התייחסות לפרמטרים רב</w:t>
      </w:r>
      <w:r w:rsidRPr="007D190C">
        <w:rPr>
          <w:rFonts w:ascii="David" w:hAnsi="David"/>
          <w:rtl/>
        </w:rPr>
        <w:t xml:space="preserve">ים ושונים שהותוו בפסיקה כגון: טיב המעשים, הנסיבות הכוללות של ביצועם, גילו המסוים של הקטין בעת ביצוע העבירה, נטילת האחריות מצד הנאשם, חרטה, עבר פלילי וכן, בעיקר, סיכויי השיקום ([ראו למשל בע"פ 8863/15 </w:t>
      </w:r>
      <w:r w:rsidRPr="007D190C">
        <w:rPr>
          <w:rFonts w:ascii="David" w:hAnsi="David"/>
          <w:b/>
          <w:bCs/>
          <w:rtl/>
        </w:rPr>
        <w:t xml:space="preserve">פלוני נגד מדינת ישראל </w:t>
      </w:r>
      <w:r w:rsidRPr="007D190C">
        <w:rPr>
          <w:rFonts w:ascii="David" w:hAnsi="David"/>
          <w:rtl/>
        </w:rPr>
        <w:t>(7.5.16)].</w:t>
      </w:r>
    </w:p>
    <w:p w:rsidR="007D190C" w:rsidRPr="007D190C" w:rsidRDefault="00DE4D55" w:rsidP="007D190C">
      <w:pPr>
        <w:spacing w:line="360" w:lineRule="auto"/>
        <w:jc w:val="both"/>
        <w:rPr>
          <w:rFonts w:ascii="David" w:hAnsi="David"/>
          <w:rtl/>
        </w:rPr>
      </w:pPr>
      <w:r w:rsidRPr="007D190C">
        <w:rPr>
          <w:rFonts w:ascii="David" w:hAnsi="David"/>
          <w:rtl/>
        </w:rPr>
        <w:tab/>
      </w:r>
    </w:p>
    <w:p w:rsidR="007D190C" w:rsidRPr="007D190C" w:rsidRDefault="00DE4D55" w:rsidP="007D190C">
      <w:pPr>
        <w:spacing w:line="360" w:lineRule="auto"/>
        <w:jc w:val="both"/>
        <w:rPr>
          <w:rFonts w:ascii="David" w:hAnsi="David"/>
          <w:rtl/>
        </w:rPr>
      </w:pPr>
      <w:r w:rsidRPr="007D190C">
        <w:rPr>
          <w:rFonts w:ascii="David" w:hAnsi="David"/>
          <w:rtl/>
        </w:rPr>
        <w:lastRenderedPageBreak/>
        <w:tab/>
        <w:t xml:space="preserve">לא למיותר לומר, </w:t>
      </w:r>
      <w:r w:rsidRPr="007D190C">
        <w:rPr>
          <w:rFonts w:ascii="David" w:hAnsi="David"/>
          <w:u w:val="single"/>
          <w:rtl/>
        </w:rPr>
        <w:t>שלצור</w:t>
      </w:r>
      <w:r w:rsidRPr="007D190C">
        <w:rPr>
          <w:rFonts w:ascii="David" w:hAnsi="David"/>
          <w:u w:val="single"/>
          <w:rtl/>
        </w:rPr>
        <w:t>ך ענישת קטינים לרכיב ההרשעה גופה משמעות רבה</w:t>
      </w:r>
      <w:r w:rsidRPr="007D190C">
        <w:rPr>
          <w:rFonts w:ascii="David" w:hAnsi="David"/>
          <w:rtl/>
        </w:rPr>
        <w:t xml:space="preserve">. בית המשפט </w:t>
      </w:r>
      <w:r w:rsidRPr="007D190C">
        <w:rPr>
          <w:rFonts w:ascii="David" w:hAnsi="David"/>
          <w:rtl/>
        </w:rPr>
        <w:tab/>
        <w:t xml:space="preserve">לנוער אמור לבחון את שאלת ההרשעה במנותק מהעונש, מתוך הערכה שלגבי קטין יש </w:t>
      </w:r>
      <w:r w:rsidRPr="007D190C">
        <w:rPr>
          <w:rFonts w:ascii="David" w:hAnsi="David"/>
          <w:rtl/>
        </w:rPr>
        <w:tab/>
        <w:t>להרשעה עצמה משמעות רבה הנוגעת להמשך חייו ועתידו.</w:t>
      </w:r>
    </w:p>
    <w:p w:rsidR="007D190C" w:rsidRPr="007D190C" w:rsidRDefault="00DE4D55" w:rsidP="007D190C">
      <w:pPr>
        <w:spacing w:line="360" w:lineRule="auto"/>
        <w:jc w:val="both"/>
        <w:rPr>
          <w:rFonts w:ascii="David" w:hAnsi="David"/>
        </w:rPr>
      </w:pPr>
      <w:r w:rsidRPr="007D190C">
        <w:rPr>
          <w:rFonts w:ascii="David" w:hAnsi="David"/>
          <w:rtl/>
        </w:rPr>
        <w:tab/>
      </w:r>
    </w:p>
    <w:p w:rsidR="007D190C" w:rsidRPr="007D190C" w:rsidRDefault="00DE4D55" w:rsidP="007D190C">
      <w:pPr>
        <w:spacing w:line="360" w:lineRule="auto"/>
        <w:ind w:left="720"/>
        <w:jc w:val="both"/>
        <w:rPr>
          <w:rFonts w:ascii="David" w:hAnsi="David"/>
          <w:rtl/>
        </w:rPr>
      </w:pPr>
      <w:r w:rsidRPr="007D190C">
        <w:rPr>
          <w:rFonts w:ascii="David" w:hAnsi="David"/>
          <w:rtl/>
        </w:rPr>
        <w:t>בהתייחס לנסיבות ביצוע העבירה – זאת ללא קשר לשיקולים נוספים שעשויים לשמש לצור</w:t>
      </w:r>
      <w:r w:rsidRPr="007D190C">
        <w:rPr>
          <w:rFonts w:ascii="David" w:hAnsi="David"/>
          <w:rtl/>
        </w:rPr>
        <w:t>כי העונש – קיימת סקאלה רחבה של נסיבות ותתי נסיבות אשר משפיעות בהכרח על העונש. אכן, "אונס הוא אונס" בין אם הוא מבוצע בנסיבות חברתיות כבמקרה שלנו ובין אם התרחש בנסיבות של "אונס בשדה", כהתבטאותה של ב"כ המאשימה. גם זה וגם זה הם חמורים ופסולים ועשויים להיות קשי</w:t>
      </w:r>
      <w:r w:rsidRPr="007D190C">
        <w:rPr>
          <w:rFonts w:ascii="David" w:hAnsi="David"/>
          <w:rtl/>
        </w:rPr>
        <w:t>ם וטראומתיים עבור קורבן העבירה, ועדיין, הפסיקה הכירה לעניין העונש באבחנות רלוונטיות שבין מקרים שונים, למשל, אם האונס בוצע באלימות מופגנת, באכזריות, תוך ניצול מצוקה, כלפי אדם בלתי מוכר, כלפי קטין רך בשנים, במצב של פערי גיל גדולים בין התוקף לנתקף, בתוך המשפח</w:t>
      </w:r>
      <w:r w:rsidRPr="007D190C">
        <w:rPr>
          <w:rFonts w:ascii="David" w:hAnsi="David"/>
          <w:rtl/>
        </w:rPr>
        <w:t xml:space="preserve">ה, ועוד. ברי שלנסיבות המסוימות של ביצוע העבירות יש משמעות לעניין העונש, מבחינת מידת אשמו של הנאשם ומידת הסטייה שלו מנורמות ההתנהגות המקובלות. </w:t>
      </w:r>
    </w:p>
    <w:p w:rsidR="007D190C" w:rsidRPr="007D190C" w:rsidRDefault="00DE4D55" w:rsidP="007D190C">
      <w:pPr>
        <w:spacing w:line="360" w:lineRule="auto"/>
        <w:ind w:left="720"/>
        <w:jc w:val="both"/>
        <w:rPr>
          <w:rFonts w:ascii="David" w:hAnsi="David"/>
          <w:rtl/>
        </w:rPr>
      </w:pPr>
      <w:r w:rsidRPr="007D190C">
        <w:rPr>
          <w:rFonts w:ascii="David" w:hAnsi="David"/>
          <w:rtl/>
        </w:rPr>
        <w:t xml:space="preserve">במקרה שלנו, מבלי להקל ראש בשליליותם ובחומרתם של המעשים, לא ניתן להתעלם מהעובדה שמדובר במעשים שבוצעו כלפי בנות אותו גיל, במסגרות חברתיות משותפות ובנסיבות חברתיות, וזאת ללא הפעלת אלימות שהיא מעבר לאלימות הגלומה בעבירת המין עצמה. </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jc w:val="both"/>
        <w:rPr>
          <w:rFonts w:ascii="David" w:hAnsi="David"/>
          <w:rtl/>
        </w:rPr>
      </w:pPr>
      <w:r w:rsidRPr="007D190C">
        <w:rPr>
          <w:rFonts w:ascii="David" w:hAnsi="David"/>
          <w:rtl/>
        </w:rPr>
        <w:tab/>
        <w:t>בחנתי את הפסיקה הנוגעת לענ</w:t>
      </w:r>
      <w:r w:rsidRPr="007D190C">
        <w:rPr>
          <w:rFonts w:ascii="David" w:hAnsi="David"/>
          <w:rtl/>
        </w:rPr>
        <w:t xml:space="preserve">ייננו – בין זו שהוגשה על ידי הצדדים ובין אחרת – ואכן, </w:t>
      </w:r>
      <w:r w:rsidRPr="007D190C">
        <w:rPr>
          <w:rFonts w:ascii="David" w:hAnsi="David"/>
          <w:rtl/>
        </w:rPr>
        <w:tab/>
        <w:t xml:space="preserve">כפי שציינה ב"כ המאשימה התקשיתי למצוא פסק דין שדמיונו לכתב האישום שלנו, על </w:t>
      </w:r>
      <w:r w:rsidRPr="007D190C">
        <w:rPr>
          <w:rFonts w:ascii="David" w:hAnsi="David"/>
          <w:rtl/>
        </w:rPr>
        <w:tab/>
        <w:t>נסיבותיו הייחודיות, מאפשר לראות בו תקדים ברור או אמת מידה מדויקת.</w:t>
      </w:r>
    </w:p>
    <w:p w:rsidR="007D190C" w:rsidRPr="007D190C" w:rsidRDefault="00DE4D55" w:rsidP="007D190C">
      <w:pPr>
        <w:spacing w:line="360" w:lineRule="auto"/>
        <w:jc w:val="both"/>
        <w:rPr>
          <w:rFonts w:ascii="David" w:hAnsi="David"/>
          <w:rtl/>
        </w:rPr>
      </w:pPr>
      <w:r w:rsidRPr="007D190C">
        <w:rPr>
          <w:rFonts w:ascii="David" w:hAnsi="David"/>
          <w:rtl/>
        </w:rPr>
        <w:tab/>
        <w:t xml:space="preserve">מכל מקום, אפשר לומר כבר עתה, כי הפסיקה שאליה הפנתה המאשימה </w:t>
      </w:r>
      <w:r w:rsidRPr="007D190C">
        <w:rPr>
          <w:rFonts w:ascii="David" w:hAnsi="David"/>
          <w:rtl/>
        </w:rPr>
        <w:t xml:space="preserve">– פסיקה שעל </w:t>
      </w:r>
      <w:r w:rsidRPr="007D190C">
        <w:rPr>
          <w:rFonts w:ascii="David" w:hAnsi="David"/>
          <w:rtl/>
        </w:rPr>
        <w:tab/>
        <w:t xml:space="preserve">חלק ממנה אעמוד בהמשך כחלק מההנמקה – משקפת ברובה הגדול מקרים שנסיבותיהם </w:t>
      </w:r>
      <w:r w:rsidRPr="007D190C">
        <w:rPr>
          <w:rFonts w:ascii="David" w:hAnsi="David"/>
          <w:rtl/>
        </w:rPr>
        <w:tab/>
        <w:t xml:space="preserve">הכוללות חמורות בהרבה משלנו, הן בהיבט של נסיבות ביצוע העבירות והן בהיבט של </w:t>
      </w:r>
      <w:r w:rsidRPr="007D190C">
        <w:rPr>
          <w:rFonts w:ascii="David" w:hAnsi="David"/>
          <w:rtl/>
        </w:rPr>
        <w:tab/>
        <w:t xml:space="preserve">שיקולים הקשורים בנאשם. חלק מהמקרים מתייחס לאירועים שלמרות הזהות בסעיף </w:t>
      </w:r>
      <w:r w:rsidRPr="007D190C">
        <w:rPr>
          <w:rFonts w:ascii="David" w:hAnsi="David"/>
          <w:rtl/>
        </w:rPr>
        <w:tab/>
        <w:t>העבירה, מהווים אירועים מק</w:t>
      </w:r>
      <w:r w:rsidRPr="007D190C">
        <w:rPr>
          <w:rFonts w:ascii="David" w:hAnsi="David"/>
          <w:rtl/>
        </w:rPr>
        <w:t xml:space="preserve">טגוריות אחרות לגמרי, כגון אונס קבוצתי המבוצע על ידי </w:t>
      </w:r>
      <w:r w:rsidRPr="007D190C">
        <w:rPr>
          <w:rFonts w:ascii="David" w:hAnsi="David"/>
          <w:rtl/>
        </w:rPr>
        <w:tab/>
        <w:t xml:space="preserve">נאשמים רבים שפעלו בצוותא, מקרים של אלימות קשה, שימוש בסכין, איומים קשים, </w:t>
      </w:r>
      <w:r w:rsidRPr="007D190C">
        <w:rPr>
          <w:rFonts w:ascii="David" w:hAnsi="David"/>
          <w:rtl/>
        </w:rPr>
        <w:tab/>
        <w:t xml:space="preserve">נפגעות שהן ילדות רכות בשנים ועוד. </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ind w:left="720"/>
        <w:jc w:val="both"/>
        <w:rPr>
          <w:rFonts w:ascii="David" w:hAnsi="David"/>
          <w:rtl/>
        </w:rPr>
      </w:pPr>
      <w:r w:rsidRPr="007D190C">
        <w:rPr>
          <w:rFonts w:ascii="David" w:hAnsi="David"/>
          <w:rtl/>
        </w:rPr>
        <w:t>אעמוד על מספר פסקי דין, בין כאלה שהובאו על ידי הצדדים – תוך השוואתם למקרה שלנו – ובין פסיקה ר</w:t>
      </w:r>
      <w:r w:rsidRPr="007D190C">
        <w:rPr>
          <w:rFonts w:ascii="David" w:hAnsi="David"/>
          <w:rtl/>
        </w:rPr>
        <w:t>לוונטית אחרת בשינויים המחויבים:</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ind w:left="720"/>
        <w:jc w:val="both"/>
        <w:rPr>
          <w:rFonts w:ascii="David" w:hAnsi="David"/>
          <w:rtl/>
        </w:rPr>
      </w:pPr>
      <w:r w:rsidRPr="007D190C">
        <w:rPr>
          <w:rFonts w:ascii="David" w:hAnsi="David"/>
          <w:b/>
          <w:bCs/>
          <w:rtl/>
        </w:rPr>
        <w:lastRenderedPageBreak/>
        <w:t xml:space="preserve">*בע"פ 7772/19 פלוני נגד מדינת ישראל </w:t>
      </w:r>
      <w:r w:rsidRPr="007D190C">
        <w:rPr>
          <w:rFonts w:ascii="David" w:hAnsi="David"/>
          <w:rtl/>
        </w:rPr>
        <w:t xml:space="preserve">(10.3.20) נדון עניינו של קטין שבעת ביצוע העבירות היה כבן 17 ובהיותו בגן ציבורי עם חברים ביקש מהם "להביא בנות כי הוא חרמן" כאשר הגיעה המתלוננת למקום לבקשת אחד מחבריו של הנאשם, ביצע בה הנאשם מעשים </w:t>
      </w:r>
      <w:r w:rsidRPr="007D190C">
        <w:rPr>
          <w:rFonts w:ascii="David" w:hAnsi="David"/>
          <w:rtl/>
        </w:rPr>
        <w:tab/>
        <w:t>מיניים שונים, לרבות ניסיון אונס. זאת לאחר שסילק מהמקום את חב</w:t>
      </w:r>
      <w:r w:rsidRPr="007D190C">
        <w:rPr>
          <w:rFonts w:ascii="David" w:hAnsi="David"/>
          <w:rtl/>
        </w:rPr>
        <w:t>ריו, לקח אותה למקום אחר, נטל את הטלפון הנייד שלה, הטיל עליה מורא, נקט כנגדה באלימות רבה, גרר אותה על הקרקע גרם לה חבלות גופניות, תוך שהיא מתחננת שיחדל. שירות המבחן לא יכול היה לגבש המלצה בתסקיר בגלל העדר שיתוף פעולה מינימאלי מצד הנאשם וגם לא המליץ על שיקום</w:t>
      </w:r>
      <w:r w:rsidRPr="007D190C">
        <w:rPr>
          <w:rFonts w:ascii="David" w:hAnsi="David"/>
          <w:rtl/>
        </w:rPr>
        <w:t xml:space="preserve">. שירות המבחן התקשה להצביע על גורמי סיכון ולהעריך את הנאשם. הוא נדון </w:t>
      </w:r>
      <w:r w:rsidRPr="007D190C">
        <w:rPr>
          <w:rFonts w:ascii="David" w:hAnsi="David"/>
          <w:b/>
          <w:bCs/>
          <w:rtl/>
        </w:rPr>
        <w:t>ל-3 שנות מאסר.</w:t>
      </w:r>
    </w:p>
    <w:p w:rsidR="007D190C" w:rsidRPr="007D190C" w:rsidRDefault="00DE4D55" w:rsidP="007D190C">
      <w:pPr>
        <w:spacing w:line="360" w:lineRule="auto"/>
        <w:jc w:val="both"/>
        <w:rPr>
          <w:rFonts w:ascii="David" w:hAnsi="David"/>
          <w:rtl/>
        </w:rPr>
      </w:pPr>
      <w:r w:rsidRPr="007D190C">
        <w:rPr>
          <w:rFonts w:ascii="David" w:hAnsi="David"/>
          <w:rtl/>
        </w:rPr>
        <w:tab/>
        <w:t xml:space="preserve">למיותר לומר שמדובר במעשה חמור מאוד, בקטגוריית מעשים שונה לחלוטין משלנו, זאת </w:t>
      </w:r>
      <w:r w:rsidRPr="007D190C">
        <w:rPr>
          <w:rFonts w:ascii="David" w:hAnsi="David"/>
          <w:rtl/>
        </w:rPr>
        <w:tab/>
        <w:t xml:space="preserve">גם ביודענו ששם היה מדובר באישום יחיד. פרט למעשה החמור שהיה מלווה באלימות </w:t>
      </w:r>
      <w:r w:rsidRPr="007D190C">
        <w:rPr>
          <w:rFonts w:ascii="David" w:hAnsi="David"/>
          <w:rtl/>
        </w:rPr>
        <w:tab/>
        <w:t>ובאכזריות מדובר בנאש</w:t>
      </w:r>
      <w:r w:rsidRPr="007D190C">
        <w:rPr>
          <w:rFonts w:ascii="David" w:hAnsi="David"/>
          <w:rtl/>
        </w:rPr>
        <w:t xml:space="preserve">ם שהיה קרוב לגיל בגרות בעת ביצוע העבירות, בעל עבר פלילי, </w:t>
      </w:r>
      <w:r w:rsidRPr="007D190C">
        <w:rPr>
          <w:rFonts w:ascii="David" w:hAnsi="David"/>
          <w:rtl/>
        </w:rPr>
        <w:tab/>
        <w:t>מסוכן לציבור ונעדר אופציות שיקום.</w:t>
      </w:r>
    </w:p>
    <w:p w:rsidR="007D190C" w:rsidRPr="007D190C" w:rsidRDefault="00DE4D55" w:rsidP="007D190C">
      <w:pPr>
        <w:spacing w:line="360" w:lineRule="auto"/>
        <w:ind w:left="720"/>
        <w:contextualSpacing/>
        <w:jc w:val="both"/>
        <w:rPr>
          <w:rFonts w:ascii="David" w:hAnsi="David"/>
          <w:rtl/>
        </w:rPr>
      </w:pPr>
      <w:r w:rsidRPr="007D190C">
        <w:rPr>
          <w:rFonts w:ascii="David" w:hAnsi="David"/>
          <w:b/>
          <w:bCs/>
          <w:rtl/>
        </w:rPr>
        <w:t>*בתפ"ח 23431-03-14 מדינת ישראל נ' פלוני</w:t>
      </w:r>
      <w:r w:rsidRPr="007D190C">
        <w:rPr>
          <w:rFonts w:ascii="David" w:hAnsi="David"/>
          <w:rtl/>
        </w:rPr>
        <w:t xml:space="preserve"> (19.11.18) בימ"ש הרשיע קטין שהיה כמעט בן 18 בביצוע עבירות מין חמורות כלפי קטינה שאותה פגש ללא היכרות מוקדמת. הנאשם ביצע את ה</w:t>
      </w:r>
      <w:r w:rsidRPr="007D190C">
        <w:rPr>
          <w:rFonts w:ascii="David" w:hAnsi="David"/>
          <w:rtl/>
        </w:rPr>
        <w:t>מעשים באלימות תוך שהתעלם מתחנוניה ומבקשותיה של המתלוננת. הנאשם ניהל הליך הוכחות. הנאשם אובחן כמשתמש בחומרים פסיכואקטיביים, נפלט מהקהילה הטיפולית בעקבות רצף של אירועים חריגים הכוללים אלימות, לא שיתף פעולה עם שירות המבחן למרות שנבחנו מספר אופציות לגביו. שירו</w:t>
      </w:r>
      <w:r w:rsidRPr="007D190C">
        <w:rPr>
          <w:rFonts w:ascii="David" w:hAnsi="David"/>
          <w:rtl/>
        </w:rPr>
        <w:t>ת המבחן לא בא בהמלצה. נדון ל-</w:t>
      </w:r>
      <w:r w:rsidRPr="007D190C">
        <w:rPr>
          <w:rFonts w:ascii="David" w:hAnsi="David"/>
          <w:b/>
          <w:bCs/>
          <w:rtl/>
        </w:rPr>
        <w:t>22 חודשי מאסר בפועל.</w:t>
      </w:r>
      <w:r w:rsidRPr="007D190C">
        <w:rPr>
          <w:rFonts w:ascii="David" w:hAnsi="David"/>
          <w:rtl/>
        </w:rPr>
        <w:t xml:space="preserve"> </w:t>
      </w:r>
    </w:p>
    <w:p w:rsidR="007D190C" w:rsidRPr="007D190C" w:rsidRDefault="00DE4D55" w:rsidP="007D190C">
      <w:pPr>
        <w:spacing w:line="360" w:lineRule="auto"/>
        <w:ind w:left="720"/>
        <w:contextualSpacing/>
        <w:jc w:val="both"/>
        <w:rPr>
          <w:rFonts w:ascii="David" w:hAnsi="David"/>
          <w:rtl/>
        </w:rPr>
      </w:pPr>
      <w:r w:rsidRPr="007D190C">
        <w:rPr>
          <w:rFonts w:ascii="David" w:hAnsi="David"/>
          <w:rtl/>
        </w:rPr>
        <w:t>גם הפעם קשה למצוא דמיון הן מבחינת טיב המעשה והן מבחינת מיהות העושה, וההמלצה הלא חיובית לגביו.</w:t>
      </w:r>
    </w:p>
    <w:p w:rsidR="007D190C" w:rsidRPr="007D190C" w:rsidRDefault="00DE4D55" w:rsidP="007D190C">
      <w:pPr>
        <w:spacing w:line="360" w:lineRule="auto"/>
        <w:ind w:left="720"/>
        <w:contextualSpacing/>
        <w:jc w:val="both"/>
        <w:rPr>
          <w:rFonts w:ascii="David" w:hAnsi="David"/>
          <w:rtl/>
        </w:rPr>
      </w:pPr>
      <w:r w:rsidRPr="007D190C">
        <w:rPr>
          <w:rFonts w:ascii="David" w:hAnsi="David"/>
          <w:b/>
          <w:bCs/>
          <w:rtl/>
        </w:rPr>
        <w:t xml:space="preserve">*בתפ"ח 34260-10-17 מדינת ישראל נ' פלוני </w:t>
      </w:r>
      <w:r w:rsidRPr="007D190C">
        <w:rPr>
          <w:rFonts w:ascii="David" w:hAnsi="David"/>
          <w:rtl/>
        </w:rPr>
        <w:t>(14.6.20)</w:t>
      </w:r>
      <w:r w:rsidRPr="007D190C">
        <w:rPr>
          <w:rFonts w:ascii="David" w:hAnsi="David"/>
          <w:b/>
          <w:bCs/>
          <w:rtl/>
        </w:rPr>
        <w:t xml:space="preserve"> </w:t>
      </w:r>
      <w:r w:rsidRPr="007D190C">
        <w:rPr>
          <w:rFonts w:ascii="David" w:hAnsi="David"/>
          <w:rtl/>
        </w:rPr>
        <w:t xml:space="preserve">מדובר היה באונס בחבורה של שניים שאחד מהם בגיר והשני קטין. הם </w:t>
      </w:r>
      <w:r w:rsidRPr="007D190C">
        <w:rPr>
          <w:rFonts w:ascii="David" w:hAnsi="David"/>
          <w:rtl/>
        </w:rPr>
        <w:t>הכירו את המתלוננת במסיבה, הציעו לה משקאות אלכוהוליים עד שהגיעה לערפול חושים מוחלט, הובילו אותה לים ושם ביצעו בה מעשים מגונים וניסיון אינוס. מדובר באירוע מתמשך שכלל מספר שלבים, כשלאורך כל הדרך הייתה התעלמות מבקשותיה ותחינותיה של המתלוננת. בסוף האירוע הותירו</w:t>
      </w:r>
      <w:r w:rsidRPr="007D190C">
        <w:rPr>
          <w:rFonts w:ascii="David" w:hAnsi="David"/>
          <w:rtl/>
        </w:rPr>
        <w:t xml:space="preserve"> את המתלוננת מוטלת בחוף. שירות המבחן המליץ להטיל על הנאשם הקטין עונש של מאסר בעבודות שירות על מנת שיוכל להמשיך בטיפול בתנאים פתוחים שבו החל. בית המשפט מצא כי התסקיר לא נתן די התייחסות לבעייתיות שעליה עמד שירות המבחן בעצמו וקבע שאין פוטנציאל מובהק לשיקום. ל</w:t>
      </w:r>
      <w:r w:rsidRPr="007D190C">
        <w:rPr>
          <w:rFonts w:ascii="David" w:hAnsi="David"/>
          <w:rtl/>
        </w:rPr>
        <w:t>אור העובדה שהקטין היה דווקא הרוח החיה בעבירה יחסית לנאשם השני, הבגיר, ראה בית המשפט להשוות את עונשו של הקטין לבגיר והטיל עליהם עונש זהה של 4.5 שנות מאסר. גם הפעם מדובר בנסיבות שקשה לגזור מהן גזירה שווה למקרה שלנו בשל הבדלים מהותיים לגבי מספר פרמטרים של עני</w:t>
      </w:r>
      <w:r w:rsidRPr="007D190C">
        <w:rPr>
          <w:rFonts w:ascii="David" w:hAnsi="David"/>
          <w:rtl/>
        </w:rPr>
        <w:t xml:space="preserve">שה. </w:t>
      </w:r>
    </w:p>
    <w:p w:rsidR="007D190C" w:rsidRPr="007D190C" w:rsidRDefault="00DE4D55" w:rsidP="007D190C">
      <w:pPr>
        <w:spacing w:line="360" w:lineRule="auto"/>
        <w:ind w:left="720"/>
        <w:contextualSpacing/>
        <w:jc w:val="both"/>
        <w:rPr>
          <w:rFonts w:ascii="David" w:hAnsi="David"/>
          <w:b/>
          <w:bCs/>
          <w:rtl/>
        </w:rPr>
      </w:pPr>
      <w:r w:rsidRPr="007D190C">
        <w:rPr>
          <w:rFonts w:ascii="David" w:hAnsi="David"/>
          <w:b/>
          <w:bCs/>
          <w:rtl/>
        </w:rPr>
        <w:lastRenderedPageBreak/>
        <w:t>*בע"פ 5776/22 פלוני נ' מדינת ישראל</w:t>
      </w:r>
      <w:r w:rsidRPr="007D190C">
        <w:rPr>
          <w:rFonts w:ascii="David" w:hAnsi="David"/>
          <w:rtl/>
        </w:rPr>
        <w:t xml:space="preserve"> (19.12.22) הורשע הקטין בשבעה מקרי אינוס, שניים מהם אינוס בצוותא, מעשה סדום ועבירות נוספות, שביצע בהיותו בן 14 כנגד ילדה בת 12. מדובר בשורה של מעשים קשים מאוד שבוצעו בצורה משפילה. בית המשפט קבע שהנאשם טשטש צלם אנוש של</w:t>
      </w:r>
      <w:r w:rsidRPr="007D190C">
        <w:rPr>
          <w:rFonts w:ascii="David" w:hAnsi="David"/>
          <w:rtl/>
        </w:rPr>
        <w:t xml:space="preserve"> נפגעת העבירה, סרסר בה בין נערים אחרים, כאשר חלק מהמעשים שבוצעו בה היו בכוח אגב כך שחלק מהנאשמים אוחזים בידיה וברגליה. בנוסף, הנאשם איים על המתלוננת כי יפיץ סרטונים שלה אם לא תסכים לקיים יחסים עמו ועם חבריו. לאור הנסיבות המופלגות בחומרתן בית המשפט לא קיבל </w:t>
      </w:r>
      <w:r w:rsidRPr="007D190C">
        <w:rPr>
          <w:rFonts w:ascii="David" w:hAnsi="David"/>
          <w:rtl/>
        </w:rPr>
        <w:t xml:space="preserve">המלצה למעון נעול והטיל </w:t>
      </w:r>
      <w:r w:rsidRPr="007D190C">
        <w:rPr>
          <w:rFonts w:ascii="David" w:hAnsi="David"/>
          <w:b/>
          <w:bCs/>
          <w:rtl/>
        </w:rPr>
        <w:t>מאסר של 4 שנים.</w:t>
      </w:r>
    </w:p>
    <w:p w:rsidR="007D190C" w:rsidRPr="007D190C" w:rsidRDefault="00DE4D55" w:rsidP="007D190C">
      <w:pPr>
        <w:spacing w:line="360" w:lineRule="auto"/>
        <w:ind w:left="720"/>
        <w:contextualSpacing/>
        <w:jc w:val="both"/>
        <w:rPr>
          <w:rFonts w:ascii="David" w:hAnsi="David"/>
          <w:rtl/>
        </w:rPr>
      </w:pPr>
      <w:r w:rsidRPr="007D190C">
        <w:rPr>
          <w:rFonts w:ascii="David" w:hAnsi="David"/>
          <w:b/>
          <w:bCs/>
          <w:rtl/>
        </w:rPr>
        <w:t xml:space="preserve">*ע"פ 5476/11 פלוני נגד מדינת ישראל </w:t>
      </w:r>
      <w:r w:rsidRPr="007D190C">
        <w:rPr>
          <w:rFonts w:ascii="David" w:hAnsi="David"/>
          <w:rtl/>
        </w:rPr>
        <w:t>(25.1.12)</w:t>
      </w:r>
      <w:r w:rsidRPr="007D190C">
        <w:rPr>
          <w:rFonts w:ascii="David" w:hAnsi="David"/>
          <w:b/>
          <w:bCs/>
          <w:rtl/>
        </w:rPr>
        <w:t xml:space="preserve">, </w:t>
      </w:r>
      <w:r w:rsidRPr="007D190C">
        <w:rPr>
          <w:rFonts w:ascii="David" w:hAnsi="David"/>
          <w:rtl/>
        </w:rPr>
        <w:t>הנאשם בן 17 בעת ביצוע המעשים נדון ל-</w:t>
      </w:r>
      <w:r w:rsidRPr="007D190C">
        <w:rPr>
          <w:rFonts w:ascii="David" w:hAnsi="David"/>
          <w:b/>
          <w:bCs/>
          <w:rtl/>
        </w:rPr>
        <w:t>30 חודשי מאסר בפועל</w:t>
      </w:r>
      <w:r w:rsidRPr="007D190C">
        <w:rPr>
          <w:rFonts w:ascii="David" w:hAnsi="David"/>
          <w:rtl/>
        </w:rPr>
        <w:t xml:space="preserve"> על כך שביצע מעשה מגונה ואונס, בשתי הזדמנויות נפרדות, בקטינה צעירה ממנו שהכיר בפנימייה. האונס מתואר כמעשה אלים, תוך </w:t>
      </w:r>
      <w:r w:rsidRPr="007D190C">
        <w:rPr>
          <w:rFonts w:ascii="David" w:hAnsi="David"/>
          <w:rtl/>
        </w:rPr>
        <w:t>איום בסכין, הנאשם הוביל את המתלוננת לחניון בתחנה מרכזית, פשט בגדיה בכוח ובעל אותה בכוח חרץ ניסיונותיה להדפו. תסקיר שירות המבחן המליץ על צו פיקוח למשך שנה וחצי ללא עונש נוסף. לנאשם בעיות שתיה. החלופה של "מעון נעול" לא עמדה על הפרק. בית משפט לא ראה להיעתר לה</w:t>
      </w:r>
      <w:r w:rsidRPr="007D190C">
        <w:rPr>
          <w:rFonts w:ascii="David" w:hAnsi="David"/>
          <w:rtl/>
        </w:rPr>
        <w:t>מלצה והטיל כאמור את עונש המאסר שצוין.</w:t>
      </w:r>
    </w:p>
    <w:p w:rsidR="007D190C" w:rsidRPr="007D190C" w:rsidRDefault="00DE4D55" w:rsidP="007D190C">
      <w:pPr>
        <w:spacing w:line="360" w:lineRule="auto"/>
        <w:ind w:left="720"/>
        <w:contextualSpacing/>
        <w:jc w:val="both"/>
        <w:rPr>
          <w:rFonts w:ascii="David" w:hAnsi="David"/>
        </w:rPr>
      </w:pPr>
      <w:r w:rsidRPr="007D190C">
        <w:rPr>
          <w:rFonts w:ascii="David" w:hAnsi="David"/>
          <w:b/>
          <w:bCs/>
          <w:rtl/>
        </w:rPr>
        <w:t>*בתפ"ח 54122-03-15 פלוני נגד מדינת ישראל (</w:t>
      </w:r>
      <w:r w:rsidRPr="007D190C">
        <w:rPr>
          <w:rFonts w:ascii="David" w:hAnsi="David"/>
          <w:rtl/>
        </w:rPr>
        <w:t>13.10.16), מדובר ב-3 מעשי סדום במתלוננת, דודנית של הנאשם, שבעת ביצוע המעשים הייתה בת 5-8 כן מעשה מגונה כלפי מתלוננת נוספת שכנה, שהייתה אז כבת 6. לאור גיל הנפגעות והקרבה המשפחתי</w:t>
      </w:r>
      <w:r w:rsidRPr="007D190C">
        <w:rPr>
          <w:rFonts w:ascii="David" w:hAnsi="David"/>
          <w:rtl/>
        </w:rPr>
        <w:t xml:space="preserve">ת לא ניתן לראות במקרה אמת מידה כלשהי. הוא הדין לגבי המקרה המתואר </w:t>
      </w:r>
      <w:r w:rsidRPr="007D190C">
        <w:rPr>
          <w:rFonts w:ascii="David" w:hAnsi="David"/>
          <w:b/>
          <w:bCs/>
          <w:rtl/>
        </w:rPr>
        <w:t>בע"פ 2784/08</w:t>
      </w:r>
      <w:r w:rsidRPr="007D190C">
        <w:rPr>
          <w:rFonts w:ascii="David" w:hAnsi="David"/>
          <w:rtl/>
        </w:rPr>
        <w:t xml:space="preserve"> שם תואר מקרה שבו קטין הוביל שני ילדים בני 6 ו-7 למבנה מבודד וביצע בהם מעשה סדום.</w:t>
      </w:r>
    </w:p>
    <w:p w:rsidR="007D190C" w:rsidRPr="007D190C" w:rsidRDefault="00DE4D55" w:rsidP="007D190C">
      <w:pPr>
        <w:spacing w:line="360" w:lineRule="auto"/>
        <w:ind w:left="720"/>
        <w:jc w:val="both"/>
        <w:rPr>
          <w:rFonts w:ascii="David" w:hAnsi="David"/>
        </w:rPr>
      </w:pPr>
      <w:r w:rsidRPr="007D190C">
        <w:rPr>
          <w:rFonts w:ascii="David" w:hAnsi="David"/>
          <w:rtl/>
        </w:rPr>
        <w:t>*</w:t>
      </w:r>
      <w:r w:rsidRPr="007D190C">
        <w:rPr>
          <w:rFonts w:ascii="David" w:hAnsi="David"/>
          <w:b/>
          <w:bCs/>
          <w:rtl/>
        </w:rPr>
        <w:t>בע"פ 2064/22 ו-2216/22 פלוני נ' מדינת ישראל</w:t>
      </w:r>
      <w:r w:rsidRPr="007D190C">
        <w:rPr>
          <w:rFonts w:ascii="David" w:hAnsi="David"/>
          <w:rtl/>
        </w:rPr>
        <w:t xml:space="preserve"> (18.7.22) נדון ערעורם של שני קטינים אשר ביצעו עבירות</w:t>
      </w:r>
      <w:r w:rsidRPr="007D190C">
        <w:rPr>
          <w:rFonts w:ascii="David" w:hAnsi="David"/>
          <w:rtl/>
        </w:rPr>
        <w:t xml:space="preserve"> מין שונות כלפי קטינה שטרם מלא לה 14. מערער 1 ביצע עבירת אינוס ומערער2 ביצע עבירה של מעשים מגונים. ערעורם של הקטינים נסב על עצם </w:t>
      </w:r>
      <w:r w:rsidRPr="007D190C">
        <w:rPr>
          <w:rFonts w:ascii="David" w:hAnsi="David"/>
          <w:rtl/>
        </w:rPr>
        <w:tab/>
        <w:t xml:space="preserve">ההרשעה. בית המשפט לא סבר שנכון לבטל את ההרשעה, זאת בגלל סוג העבירה </w:t>
      </w:r>
      <w:r w:rsidRPr="007D190C">
        <w:rPr>
          <w:rFonts w:ascii="David" w:hAnsi="David"/>
          <w:rtl/>
        </w:rPr>
        <w:tab/>
        <w:t>וחומרתה. בערעורו של אחד מהנאשמים עמדה השאלה האם להותיר את ה</w:t>
      </w:r>
      <w:r w:rsidRPr="007D190C">
        <w:rPr>
          <w:rFonts w:ascii="David" w:hAnsi="David"/>
          <w:rtl/>
        </w:rPr>
        <w:t>עונש של "מעון נעול" שהשית עליו בית משפט קמא או להמירו במעון פתוח. במכלול השיקולים, ובהמלצת שירות המבחן, בית המשפט העליון קיבל את הערעור והורה על עונש של החזקה במעון פתוח, זאת תוך מתן משקל בכורה לאינטרס הציבורי שבשיקום המערער. בית המשפט לקח בחשבון את העובדה</w:t>
      </w:r>
      <w:r w:rsidRPr="007D190C">
        <w:rPr>
          <w:rFonts w:ascii="David" w:hAnsi="David"/>
          <w:rtl/>
        </w:rPr>
        <w:t xml:space="preserve"> שמעון נעול עלול להביאו לכדי רגרסיה, זאת תוך התייחסות למסגרת הנוקשה של מעון נעול. </w:t>
      </w:r>
    </w:p>
    <w:p w:rsidR="007D190C" w:rsidRPr="007D190C" w:rsidRDefault="00DE4D55" w:rsidP="007D190C">
      <w:pPr>
        <w:spacing w:line="360" w:lineRule="auto"/>
        <w:ind w:left="720"/>
        <w:jc w:val="both"/>
        <w:rPr>
          <w:rFonts w:ascii="David" w:hAnsi="David"/>
        </w:rPr>
      </w:pPr>
      <w:r w:rsidRPr="007D190C">
        <w:rPr>
          <w:rFonts w:ascii="David" w:hAnsi="David"/>
          <w:rtl/>
        </w:rPr>
        <w:t>*</w:t>
      </w:r>
      <w:r w:rsidRPr="007D190C">
        <w:rPr>
          <w:rFonts w:ascii="David" w:hAnsi="David"/>
          <w:b/>
          <w:bCs/>
          <w:rtl/>
        </w:rPr>
        <w:t>בע"פ 7870/19</w:t>
      </w:r>
      <w:r w:rsidRPr="007D190C">
        <w:rPr>
          <w:rFonts w:ascii="David" w:hAnsi="David"/>
          <w:rtl/>
        </w:rPr>
        <w:t xml:space="preserve"> </w:t>
      </w:r>
      <w:r w:rsidRPr="007D190C">
        <w:rPr>
          <w:rFonts w:ascii="David" w:hAnsi="David"/>
          <w:b/>
          <w:bCs/>
          <w:rtl/>
        </w:rPr>
        <w:t xml:space="preserve">פלוני נ' מדינת ישראל </w:t>
      </w:r>
      <w:r w:rsidRPr="007D190C">
        <w:rPr>
          <w:rFonts w:ascii="David" w:hAnsi="David"/>
          <w:rtl/>
        </w:rPr>
        <w:t>(14.4.21), הורשע הנאשם, קטין כבן 15-16 בביצוע מעשי סדום בשני קטינים בני משפחתו, האחד כבן 3, והשנייה כבת 6 ונדון ל-15 חודשי מאסר בפועל. בית</w:t>
      </w:r>
      <w:r w:rsidRPr="007D190C">
        <w:rPr>
          <w:rFonts w:ascii="David" w:hAnsi="David"/>
          <w:rtl/>
        </w:rPr>
        <w:t xml:space="preserve"> המשפט העליון קבע כי בנסיבות המיוחדות של המקרה נכון היה לאמץ את המלצת שירות המבחן, לבטל את המאסר בפועל שהוטל עליו. בית המשפט העליון קבע כי חלף עונש המאסר בפועל יוסיף המערער לשהות במעון נעול, שבו הוא שוהה, עד הגיעו לגיל </w:t>
      </w:r>
      <w:r w:rsidRPr="007D190C">
        <w:rPr>
          <w:rFonts w:ascii="David" w:hAnsi="David"/>
          <w:rtl/>
        </w:rPr>
        <w:lastRenderedPageBreak/>
        <w:t>21, שאז ישלים שהות של 3 שנים במעון סג</w:t>
      </w:r>
      <w:r w:rsidRPr="007D190C">
        <w:rPr>
          <w:rFonts w:ascii="David" w:hAnsi="David"/>
          <w:rtl/>
        </w:rPr>
        <w:t xml:space="preserve">ור. בית המשפט העליון נתן משקל משמעותי להמלצת שירות המבחן שלפיה אין לשלוח את המערער לריצוי עונש מאסר בפועל, נוכח האפשרות כי עונש כזה צפוי לפגוע באופן דרמטי, ואף הרסני בהליך השיקומי שעובר המערער. </w:t>
      </w:r>
    </w:p>
    <w:p w:rsidR="007D190C" w:rsidRPr="007D190C" w:rsidRDefault="00DE4D55" w:rsidP="007D190C">
      <w:pPr>
        <w:spacing w:line="360" w:lineRule="auto"/>
        <w:ind w:left="720"/>
        <w:jc w:val="both"/>
        <w:rPr>
          <w:rFonts w:ascii="David" w:hAnsi="David"/>
        </w:rPr>
      </w:pPr>
      <w:r w:rsidRPr="007D190C">
        <w:rPr>
          <w:rFonts w:ascii="David" w:hAnsi="David"/>
          <w:rtl/>
        </w:rPr>
        <w:t>*</w:t>
      </w:r>
      <w:r w:rsidRPr="007D190C">
        <w:rPr>
          <w:rFonts w:ascii="David" w:hAnsi="David"/>
          <w:b/>
          <w:bCs/>
          <w:rtl/>
        </w:rPr>
        <w:t>בע"פ 48998-02-16</w:t>
      </w:r>
      <w:r w:rsidRPr="007D190C">
        <w:rPr>
          <w:rFonts w:ascii="David" w:hAnsi="David"/>
          <w:rtl/>
        </w:rPr>
        <w:t xml:space="preserve"> </w:t>
      </w:r>
      <w:r w:rsidRPr="007D190C">
        <w:rPr>
          <w:rFonts w:ascii="David" w:hAnsi="David"/>
          <w:b/>
          <w:bCs/>
          <w:rtl/>
        </w:rPr>
        <w:t xml:space="preserve">מדינת ישראל נ' פלוני </w:t>
      </w:r>
      <w:r w:rsidRPr="007D190C">
        <w:rPr>
          <w:rFonts w:ascii="David" w:hAnsi="David"/>
          <w:rtl/>
        </w:rPr>
        <w:t>(15.10.17)</w:t>
      </w:r>
      <w:r w:rsidRPr="007D190C">
        <w:rPr>
          <w:rFonts w:ascii="David" w:hAnsi="David"/>
          <w:b/>
          <w:bCs/>
          <w:rtl/>
        </w:rPr>
        <w:t xml:space="preserve">, </w:t>
      </w:r>
      <w:r w:rsidRPr="007D190C">
        <w:rPr>
          <w:rFonts w:ascii="David" w:hAnsi="David"/>
          <w:rtl/>
        </w:rPr>
        <w:t>דובר על קט</w:t>
      </w:r>
      <w:r w:rsidRPr="007D190C">
        <w:rPr>
          <w:rFonts w:ascii="David" w:hAnsi="David"/>
          <w:rtl/>
        </w:rPr>
        <w:t>ין כבן 15 בעת ביצוע העבירה, אשר הודה במסגרת הסדר טיעון בעבירות של מעשים מגונים בנסיבות אינוס ומעשה סדום שביצע כלפי דודתו, בגירה, המאובחנת כלוקה במחלת נפש, בעלת אינטליגנציה מוגבלת ובעלת תובנה חלקית בלבד. בית המשפט השית על הנאשם, בין היתר, שהות במעון נעול עד</w:t>
      </w:r>
      <w:r w:rsidRPr="007D190C">
        <w:rPr>
          <w:rFonts w:ascii="David" w:hAnsi="David"/>
          <w:rtl/>
        </w:rPr>
        <w:t xml:space="preserve"> הגיעו של הנאשם לגיל 18. עוד קבע בית המשפט, כי כאשר מדובר בנער קטין השוהה כבר למעלה משנה במעון נעול ועובר תהליך שיקומי מוצלח, אין סיבה לגזור עליו מאסר ממש. </w:t>
      </w:r>
    </w:p>
    <w:p w:rsidR="007D190C" w:rsidRPr="007D190C" w:rsidRDefault="00DE4D55" w:rsidP="007D190C">
      <w:pPr>
        <w:spacing w:line="360" w:lineRule="auto"/>
        <w:jc w:val="both"/>
        <w:rPr>
          <w:rFonts w:ascii="David" w:hAnsi="David"/>
          <w:rtl/>
        </w:rPr>
      </w:pPr>
      <w:r w:rsidRPr="007D190C">
        <w:rPr>
          <w:rFonts w:ascii="David" w:hAnsi="David"/>
          <w:bCs/>
          <w:color w:val="000000" w:themeColor="text1"/>
          <w:rtl/>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ab/>
      </w:r>
      <w:r w:rsidRPr="007D190C">
        <w:rPr>
          <w:rFonts w:ascii="David" w:hAnsi="David"/>
          <w:color w:val="000000" w:themeColor="text1"/>
          <w:rtl/>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r w:rsidRPr="007D190C">
        <w:rPr>
          <w:rFonts w:ascii="David" w:hAnsi="David"/>
          <w:b/>
          <w:bCs/>
          <w:color w:val="000000" w:themeColor="text1"/>
          <w:rtl/>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ב</w:t>
      </w:r>
      <w:hyperlink w:history="1">
        <w:r w:rsidRPr="00CC2F89">
          <w:rPr>
            <w:rFonts w:ascii="David" w:hAnsi="David"/>
            <w:b/>
            <w:bCs/>
            <w:color w:val="000000" w:themeColor="text1"/>
            <w:rtl/>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-Hyperlink Removed-</w:t>
        </w:r>
      </w:hyperlink>
      <w:r w:rsidRPr="007D190C">
        <w:rPr>
          <w:rFonts w:ascii="David" w:hAnsi="David"/>
          <w:b/>
          <w:bCs/>
          <w:rtl/>
        </w:rPr>
        <w:t xml:space="preserve"> פלוני נ' מדינת ישראל</w:t>
      </w:r>
      <w:r w:rsidRPr="007D190C">
        <w:rPr>
          <w:rFonts w:ascii="David" w:hAnsi="David"/>
          <w:rtl/>
        </w:rPr>
        <w:t xml:space="preserve"> (13.6.07)</w:t>
      </w:r>
      <w:r w:rsidRPr="007D190C">
        <w:rPr>
          <w:rFonts w:ascii="David" w:hAnsi="David"/>
          <w:b/>
          <w:bCs/>
          <w:rtl/>
        </w:rPr>
        <w:t xml:space="preserve"> </w:t>
      </w:r>
      <w:r w:rsidRPr="007D190C">
        <w:rPr>
          <w:rFonts w:ascii="David" w:hAnsi="David"/>
          <w:rtl/>
        </w:rPr>
        <w:t xml:space="preserve">הורשע המערער בשורת עבירות מין </w:t>
      </w:r>
      <w:r w:rsidRPr="007D190C">
        <w:rPr>
          <w:rFonts w:ascii="David" w:hAnsi="David"/>
          <w:rtl/>
        </w:rPr>
        <w:tab/>
      </w:r>
      <w:r w:rsidRPr="007D190C">
        <w:rPr>
          <w:rFonts w:ascii="David" w:hAnsi="David"/>
          <w:rtl/>
        </w:rPr>
        <w:t xml:space="preserve">ואלימות שביצע כנגד שני קטינים בני 8 ו- 10 שנים, עת היה בן 16, ובהן גם שני אירועים </w:t>
      </w:r>
      <w:r w:rsidRPr="007D190C">
        <w:rPr>
          <w:rFonts w:ascii="David" w:hAnsi="David"/>
          <w:rtl/>
        </w:rPr>
        <w:tab/>
        <w:t xml:space="preserve">של החדרת איבר מינו לפי הטבעת של הקורבנות. בית המשפט המחוזי גזר על המערער, בין </w:t>
      </w:r>
      <w:r w:rsidRPr="007D190C">
        <w:rPr>
          <w:rFonts w:ascii="David" w:hAnsi="David"/>
          <w:rtl/>
        </w:rPr>
        <w:tab/>
        <w:t xml:space="preserve">היתר, מאסר בפועל מאחורי סורג ובריח למשך שלוש וחצי שנים הגם ששירות המבחן </w:t>
      </w:r>
      <w:r w:rsidRPr="007D190C">
        <w:rPr>
          <w:rFonts w:ascii="David" w:hAnsi="David"/>
          <w:rtl/>
        </w:rPr>
        <w:tab/>
        <w:t xml:space="preserve">המליץ על ריצוי העונש </w:t>
      </w:r>
      <w:r w:rsidRPr="007D190C">
        <w:rPr>
          <w:rFonts w:ascii="David" w:hAnsi="David"/>
          <w:rtl/>
        </w:rPr>
        <w:t xml:space="preserve">במעון נעול. </w:t>
      </w:r>
    </w:p>
    <w:p w:rsidR="007D190C" w:rsidRPr="007D190C" w:rsidRDefault="00DE4D55" w:rsidP="007D190C">
      <w:pPr>
        <w:spacing w:line="360" w:lineRule="auto"/>
        <w:jc w:val="both"/>
        <w:rPr>
          <w:rFonts w:ascii="David" w:hAnsi="David"/>
          <w:rtl/>
        </w:rPr>
      </w:pPr>
      <w:r w:rsidRPr="007D190C">
        <w:rPr>
          <w:rFonts w:ascii="David" w:hAnsi="David"/>
          <w:rtl/>
        </w:rPr>
        <w:tab/>
        <w:t xml:space="preserve">בית המשפט העליון ביטל את עונש המאסר וקבע כי העונש ירוצה במסגרת במעון נעול ולא </w:t>
      </w:r>
      <w:r w:rsidRPr="007D190C">
        <w:rPr>
          <w:rFonts w:ascii="David" w:hAnsi="David"/>
          <w:rtl/>
        </w:rPr>
        <w:tab/>
        <w:t>כפי שקבעה הערכאה הדיונית, בנמקו:</w:t>
      </w:r>
    </w:p>
    <w:p w:rsidR="007D190C" w:rsidRPr="007D190C" w:rsidRDefault="00DE4D55" w:rsidP="007D190C">
      <w:pPr>
        <w:spacing w:line="360" w:lineRule="auto"/>
        <w:jc w:val="both"/>
        <w:rPr>
          <w:rFonts w:ascii="David" w:hAnsi="David"/>
          <w:b/>
          <w:bCs/>
          <w:rtl/>
        </w:rPr>
      </w:pPr>
      <w:r w:rsidRPr="007D190C">
        <w:rPr>
          <w:rFonts w:ascii="David" w:hAnsi="David"/>
          <w:b/>
          <w:bCs/>
          <w:rtl/>
        </w:rPr>
        <w:tab/>
        <w:t xml:space="preserve">"... בפתרון האמור יש, מחד גיסא, הרחקה של המערער מן החברה לתקופה דומה מאשר </w:t>
      </w:r>
      <w:r w:rsidRPr="007D190C">
        <w:rPr>
          <w:rFonts w:ascii="David" w:hAnsi="David"/>
          <w:b/>
          <w:bCs/>
          <w:rtl/>
        </w:rPr>
        <w:tab/>
        <w:t xml:space="preserve">הוטל עליו בבית המשפט....סבל הקורבנות הרכים בשנים לנגד </w:t>
      </w:r>
      <w:r w:rsidRPr="007D190C">
        <w:rPr>
          <w:rFonts w:ascii="David" w:hAnsi="David"/>
          <w:b/>
          <w:bCs/>
          <w:rtl/>
        </w:rPr>
        <w:t xml:space="preserve">עיניי אך הפתרון הנדון </w:t>
      </w:r>
      <w:r w:rsidRPr="007D190C">
        <w:rPr>
          <w:rFonts w:ascii="David" w:hAnsi="David"/>
          <w:b/>
          <w:bCs/>
          <w:rtl/>
        </w:rPr>
        <w:tab/>
        <w:t xml:space="preserve">מציע מסגרת נעולה והרחקת המערער מקרבתם באופן שאינו שונה מבית סוהר... בסופו </w:t>
      </w:r>
      <w:r w:rsidRPr="007D190C">
        <w:rPr>
          <w:rFonts w:ascii="David" w:hAnsi="David"/>
          <w:b/>
          <w:bCs/>
          <w:rtl/>
        </w:rPr>
        <w:tab/>
        <w:t xml:space="preserve">של יום, כשישנה אפשרות למעון נעול ולחיוב בטיפול תוך הרחקה מהחברה, יש מקום </w:t>
      </w:r>
      <w:r w:rsidRPr="007D190C">
        <w:rPr>
          <w:rFonts w:ascii="David" w:hAnsi="David"/>
          <w:b/>
          <w:bCs/>
          <w:rtl/>
        </w:rPr>
        <w:tab/>
        <w:t>להעדיף זאת".</w:t>
      </w:r>
    </w:p>
    <w:p w:rsidR="007D190C" w:rsidRPr="007D190C" w:rsidRDefault="00DE4D55" w:rsidP="007D190C">
      <w:pPr>
        <w:spacing w:line="360" w:lineRule="auto"/>
        <w:jc w:val="both"/>
        <w:rPr>
          <w:rFonts w:ascii="David" w:hAnsi="David"/>
          <w:rtl/>
        </w:rPr>
      </w:pPr>
      <w:r w:rsidRPr="007D190C">
        <w:rPr>
          <w:rFonts w:ascii="David" w:hAnsi="David"/>
          <w:rtl/>
        </w:rPr>
        <w:tab/>
      </w:r>
      <w:r w:rsidRPr="00383ABB">
        <w:rPr>
          <w:rFonts w:ascii="David" w:hAnsi="David"/>
          <w:rtl/>
        </w:rPr>
        <w:t>*</w:t>
      </w:r>
      <w:r w:rsidRPr="00383ABB">
        <w:rPr>
          <w:rFonts w:ascii="David" w:hAnsi="David"/>
          <w:color w:val="000000" w:themeColor="text1"/>
          <w:rtl/>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ב</w:t>
      </w:r>
      <w:hyperlink w:history="1">
        <w:r w:rsidRPr="00383ABB">
          <w:rPr>
            <w:rFonts w:ascii="David" w:hAnsi="David"/>
            <w:color w:val="000000" w:themeColor="text1"/>
            <w:rtl/>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-Hyperlink Removed-</w:t>
        </w:r>
      </w:hyperlink>
      <w:r w:rsidRPr="007D190C">
        <w:rPr>
          <w:rFonts w:ascii="David" w:hAnsi="David"/>
          <w:rtl/>
        </w:rPr>
        <w:t xml:space="preserve"> </w:t>
      </w:r>
      <w:r w:rsidRPr="007D190C">
        <w:rPr>
          <w:rFonts w:ascii="David" w:hAnsi="David" w:hint="cs"/>
          <w:b/>
          <w:bCs/>
          <w:rtl/>
        </w:rPr>
        <w:t>פלוני נ' מדינת ישראל</w:t>
      </w:r>
      <w:r w:rsidRPr="007D190C">
        <w:rPr>
          <w:rFonts w:ascii="David" w:hAnsi="David" w:hint="cs"/>
          <w:rtl/>
        </w:rPr>
        <w:t xml:space="preserve"> (8.4.08), הורשעו קטינים בני 14 וחצי ו-15 וחצי</w:t>
      </w:r>
      <w:r w:rsidRPr="007D190C">
        <w:rPr>
          <w:rFonts w:ascii="David" w:hAnsi="David" w:hint="cs"/>
          <w:rtl/>
        </w:rPr>
        <w:t xml:space="preserve"> </w:t>
      </w:r>
      <w:r w:rsidRPr="007D190C">
        <w:rPr>
          <w:rFonts w:ascii="David" w:hAnsi="David" w:hint="cs"/>
          <w:rtl/>
        </w:rPr>
        <w:tab/>
        <w:t xml:space="preserve">בעבירות מין חמורות בקטין בן 9. העבירות כללו, חיכוך איבר מינם בישבנו והחדרת איבר </w:t>
      </w:r>
      <w:r w:rsidRPr="007D190C">
        <w:rPr>
          <w:rFonts w:ascii="David" w:hAnsi="David" w:hint="cs"/>
          <w:rtl/>
        </w:rPr>
        <w:tab/>
        <w:t xml:space="preserve">מינם לפיו. </w:t>
      </w:r>
    </w:p>
    <w:p w:rsidR="007D190C" w:rsidRPr="007D190C" w:rsidRDefault="00DE4D55" w:rsidP="007D190C">
      <w:pPr>
        <w:spacing w:line="360" w:lineRule="auto"/>
        <w:jc w:val="both"/>
        <w:rPr>
          <w:rFonts w:ascii="David" w:hAnsi="David"/>
          <w:rtl/>
        </w:rPr>
      </w:pPr>
      <w:r w:rsidRPr="007D190C">
        <w:rPr>
          <w:rFonts w:ascii="David" w:hAnsi="David"/>
          <w:rtl/>
        </w:rPr>
        <w:tab/>
        <w:t xml:space="preserve">בית המשפט העליון ביטל את עונשי המאסר בפועל שנגזרו על הנאשמים הקטינים, לאור </w:t>
      </w:r>
      <w:r w:rsidRPr="007D190C">
        <w:rPr>
          <w:rFonts w:ascii="David" w:hAnsi="David"/>
          <w:rtl/>
        </w:rPr>
        <w:tab/>
        <w:t xml:space="preserve">כברת הדרך הארוכה אותה עשו במישור הטיפולי/שיקומי וכן נוכח החשש כי ריצוי מאסר </w:t>
      </w:r>
      <w:r w:rsidRPr="007D190C">
        <w:rPr>
          <w:rFonts w:ascii="David" w:hAnsi="David"/>
          <w:rtl/>
        </w:rPr>
        <w:tab/>
        <w:t>בפועל ע</w:t>
      </w:r>
      <w:r w:rsidRPr="007D190C">
        <w:rPr>
          <w:rFonts w:ascii="David" w:hAnsi="David"/>
          <w:rtl/>
        </w:rPr>
        <w:t xml:space="preserve">לול להסיטם אחורנית בתהליך השיקום. </w:t>
      </w:r>
    </w:p>
    <w:p w:rsidR="007D190C" w:rsidRPr="007D190C" w:rsidRDefault="00DE4D55" w:rsidP="007D190C">
      <w:pPr>
        <w:spacing w:line="360" w:lineRule="auto"/>
        <w:jc w:val="both"/>
        <w:rPr>
          <w:rFonts w:ascii="David" w:hAnsi="David"/>
          <w:rtl/>
        </w:rPr>
      </w:pPr>
      <w:r w:rsidRPr="007D190C">
        <w:rPr>
          <w:rFonts w:ascii="David" w:hAnsi="David"/>
          <w:rtl/>
        </w:rPr>
        <w:tab/>
        <w:t xml:space="preserve">אמנם, במקרה זה בית המשפט העליון הטיל על הנאשמים עונש מאסר בעבודות שירות, </w:t>
      </w:r>
      <w:r w:rsidRPr="007D190C">
        <w:rPr>
          <w:rFonts w:ascii="David" w:hAnsi="David"/>
          <w:rtl/>
        </w:rPr>
        <w:tab/>
        <w:t xml:space="preserve">להבדיל מההמלצה בענייננו, ואולם בפסק דין זה ניתן ביטוי לכך שעונש מאסר בפועל </w:t>
      </w:r>
      <w:r w:rsidRPr="007D190C">
        <w:rPr>
          <w:rFonts w:ascii="David" w:hAnsi="David"/>
          <w:rtl/>
        </w:rPr>
        <w:tab/>
        <w:t xml:space="preserve">מסיט את הדגש מהפן השיקומי, בקובעו: </w:t>
      </w:r>
      <w:r w:rsidRPr="007D190C">
        <w:rPr>
          <w:rFonts w:ascii="David" w:hAnsi="David"/>
          <w:b/>
          <w:bCs/>
          <w:rtl/>
        </w:rPr>
        <w:t>"האיזון העונשי הראוי מצדיק מאסר בעב</w:t>
      </w:r>
      <w:r w:rsidRPr="007D190C">
        <w:rPr>
          <w:rFonts w:ascii="David" w:hAnsi="David"/>
          <w:b/>
          <w:bCs/>
          <w:rtl/>
        </w:rPr>
        <w:t xml:space="preserve">ודות </w:t>
      </w:r>
      <w:r w:rsidRPr="007D190C">
        <w:rPr>
          <w:rFonts w:ascii="David" w:hAnsi="David"/>
          <w:b/>
          <w:bCs/>
          <w:rtl/>
        </w:rPr>
        <w:tab/>
        <w:t xml:space="preserve">שירות של המערערים, להבדיל ממאסר בפועל, המסיט את הדגש מהפן השיקומי לפן </w:t>
      </w:r>
      <w:r w:rsidRPr="007D190C">
        <w:rPr>
          <w:rFonts w:ascii="David" w:hAnsi="David"/>
          <w:b/>
          <w:bCs/>
          <w:rtl/>
        </w:rPr>
        <w:tab/>
        <w:t xml:space="preserve">העונשי-הרתעתי. הסטה זו קשה במיוחד". </w:t>
      </w:r>
    </w:p>
    <w:p w:rsidR="007D190C" w:rsidRPr="007D190C" w:rsidRDefault="00DE4D55" w:rsidP="007D190C">
      <w:pPr>
        <w:spacing w:line="360" w:lineRule="auto"/>
        <w:jc w:val="both"/>
        <w:rPr>
          <w:rFonts w:ascii="David" w:hAnsi="David"/>
          <w:rtl/>
        </w:rPr>
      </w:pPr>
      <w:r w:rsidRPr="007D190C">
        <w:rPr>
          <w:rFonts w:ascii="David" w:hAnsi="David"/>
          <w:b/>
          <w:bCs/>
          <w:rtl/>
        </w:rPr>
        <w:tab/>
        <w:t xml:space="preserve">*בע"פ 5593/13 פלוני נ' מדינת ישראל, </w:t>
      </w:r>
      <w:r w:rsidRPr="007D190C">
        <w:rPr>
          <w:rFonts w:ascii="David" w:hAnsi="David"/>
          <w:rtl/>
        </w:rPr>
        <w:t xml:space="preserve">הורשע קטין כבן 15 במסגרת הסדר טיעון בעבירות </w:t>
      </w:r>
      <w:r w:rsidRPr="007D190C">
        <w:rPr>
          <w:rFonts w:ascii="David" w:hAnsi="David"/>
          <w:rtl/>
        </w:rPr>
        <w:tab/>
        <w:t xml:space="preserve">של מעשה סדום ומעשה מגונה בקטין בן 12. במהלך החופש הגדול שהה </w:t>
      </w:r>
      <w:r w:rsidRPr="007D190C">
        <w:rPr>
          <w:rFonts w:ascii="David" w:hAnsi="David"/>
          <w:rtl/>
        </w:rPr>
        <w:t xml:space="preserve">המתלונן עם חבריו </w:t>
      </w:r>
      <w:r w:rsidRPr="007D190C">
        <w:rPr>
          <w:rFonts w:ascii="David" w:hAnsi="David"/>
          <w:rtl/>
        </w:rPr>
        <w:lastRenderedPageBreak/>
        <w:tab/>
        <w:t xml:space="preserve">בנהר הירדן, כאשר בשלב מסוים הגיע למקום המערער והצטרף אליהם. בהמשך, כאשר </w:t>
      </w:r>
      <w:r w:rsidRPr="007D190C">
        <w:rPr>
          <w:rFonts w:ascii="David" w:hAnsi="David"/>
          <w:rtl/>
        </w:rPr>
        <w:tab/>
        <w:t xml:space="preserve">רצו לשוב לביתם, הרכיב המערער את המתלונן על אופניו. במהלך הרכיבה הכניס המערער </w:t>
      </w:r>
      <w:r w:rsidRPr="007D190C">
        <w:rPr>
          <w:rFonts w:ascii="David" w:hAnsi="David"/>
          <w:rtl/>
        </w:rPr>
        <w:tab/>
        <w:t xml:space="preserve">את ידו לתוך מכנסיו של הקטין ונגע באיבר ממנו, ולאחר מכן תפס המערער את המתלונן </w:t>
      </w:r>
      <w:r w:rsidRPr="007D190C">
        <w:rPr>
          <w:rFonts w:ascii="David" w:hAnsi="David"/>
          <w:rtl/>
        </w:rPr>
        <w:tab/>
        <w:t>מאחור, פש</w:t>
      </w:r>
      <w:r w:rsidRPr="007D190C">
        <w:rPr>
          <w:rFonts w:ascii="David" w:hAnsi="David"/>
          <w:rtl/>
        </w:rPr>
        <w:t xml:space="preserve">ט ממנו את מכנסיו, החזיק אותו והחדיר את איבר מינו לפי הטבעת של </w:t>
      </w:r>
      <w:r w:rsidRPr="007D190C">
        <w:rPr>
          <w:rFonts w:ascii="David" w:hAnsi="David"/>
          <w:rtl/>
        </w:rPr>
        <w:tab/>
        <w:t xml:space="preserve">המתלונן בתנועות חוזרות ונשנות תוך שהוא גורם למתלונן לכאב, והכל חרף בקשתו של </w:t>
      </w:r>
      <w:r w:rsidRPr="007D190C">
        <w:rPr>
          <w:rFonts w:ascii="David" w:hAnsi="David"/>
          <w:rtl/>
        </w:rPr>
        <w:tab/>
        <w:t xml:space="preserve">המתלונן כי יחדל ממעשיו. בית המשפט המחוזי גזר על המערער 24 חודשי מאסר בפועל. </w:t>
      </w:r>
      <w:r w:rsidRPr="007D190C">
        <w:rPr>
          <w:rFonts w:ascii="David" w:hAnsi="David"/>
          <w:rtl/>
        </w:rPr>
        <w:tab/>
        <w:t>בית המשפט העליון קיבל את הערעור וחלף עו</w:t>
      </w:r>
      <w:r w:rsidRPr="007D190C">
        <w:rPr>
          <w:rFonts w:ascii="David" w:hAnsi="David"/>
          <w:rtl/>
        </w:rPr>
        <w:t xml:space="preserve">נש המאסר הורה על המשך שהייתי של </w:t>
      </w:r>
      <w:r w:rsidRPr="007D190C">
        <w:rPr>
          <w:rFonts w:ascii="David" w:hAnsi="David"/>
          <w:rtl/>
        </w:rPr>
        <w:tab/>
        <w:t xml:space="preserve">הקטין במעון נעול. בקבעו כך בית המשפט ציין כי הענישה של קטינים שונה מהותית מזו </w:t>
      </w:r>
      <w:r w:rsidRPr="007D190C">
        <w:rPr>
          <w:rFonts w:ascii="David" w:hAnsi="David"/>
          <w:rtl/>
        </w:rPr>
        <w:tab/>
        <w:t xml:space="preserve">של בגירים ולרוב יינתן בעניינם משקל דומיננטי לשיקולי השיקום, וזאת בשל הערך </w:t>
      </w:r>
      <w:r w:rsidRPr="007D190C">
        <w:rPr>
          <w:rFonts w:ascii="David" w:hAnsi="David"/>
          <w:rtl/>
        </w:rPr>
        <w:tab/>
        <w:t>החברתי שבהחזרת קטינים למוטב. עוד נקבע כי יש לתת משקל מיוחד להמלצות הג</w:t>
      </w:r>
      <w:r w:rsidRPr="007D190C">
        <w:rPr>
          <w:rFonts w:ascii="David" w:hAnsi="David"/>
          <w:rtl/>
        </w:rPr>
        <w:t xml:space="preserve">ורמים </w:t>
      </w:r>
      <w:r w:rsidRPr="007D190C">
        <w:rPr>
          <w:rFonts w:ascii="David" w:hAnsi="David"/>
          <w:rtl/>
        </w:rPr>
        <w:tab/>
        <w:t xml:space="preserve">המקצועיים כאשר מדובר בהליכים פליליים נגד קטינים. </w:t>
      </w:r>
    </w:p>
    <w:p w:rsidR="007D190C" w:rsidRPr="007D190C" w:rsidRDefault="00DE4D55" w:rsidP="007D190C">
      <w:pPr>
        <w:spacing w:line="360" w:lineRule="auto"/>
        <w:ind w:left="720"/>
        <w:jc w:val="both"/>
        <w:rPr>
          <w:rFonts w:ascii="David" w:hAnsi="David"/>
          <w:rtl/>
        </w:rPr>
      </w:pPr>
      <w:r w:rsidRPr="007D190C">
        <w:rPr>
          <w:rFonts w:ascii="David" w:hAnsi="David"/>
          <w:b/>
          <w:bCs/>
          <w:rtl/>
        </w:rPr>
        <w:t xml:space="preserve">*בע"פ 5593/21 פלוני נ' מדינת ישראל </w:t>
      </w:r>
      <w:r w:rsidRPr="007D190C">
        <w:rPr>
          <w:rFonts w:ascii="David" w:hAnsi="David"/>
          <w:rtl/>
        </w:rPr>
        <w:t xml:space="preserve">(21.10.21), ערעור על פסק דינו של בית המשפט המחוזי במסגרתו הורשע המערער, נער כבן 15 וחצי בעת המעשים, בביצוע מעשה סדום ומעשה מגונה בקטין שטרם מלאו לו 14 שנים, ונגזרו </w:t>
      </w:r>
      <w:r w:rsidRPr="007D190C">
        <w:rPr>
          <w:rFonts w:ascii="David" w:hAnsi="David"/>
          <w:rtl/>
        </w:rPr>
        <w:t>עליו 24 חודשי מאסר בפועל לצד רכיבי ענישה נלווים. הערעור הוגש על הקביעה כי עונש המאסר ירוצה בדרך של מאסר בפועל ולא במעון הנעול בו שהה עובר למתן גזר הדין. בית המשפט העליון קיבל את הערעור וקבע זהו המקרה לאמץ את המלצות גורמי הטיפול שסברו כי המשך שהותו של המערע</w:t>
      </w:r>
      <w:r w:rsidRPr="007D190C">
        <w:rPr>
          <w:rFonts w:ascii="David" w:hAnsi="David"/>
          <w:rtl/>
        </w:rPr>
        <w:t>ר במעון הנעול תתרום לשיקומו, בנבדל משליחתו אלי מאסר מאחורי סורג ובריח אשר תשיג מטרה הפוכה ותפגע בסיכויי שיקומו.</w:t>
      </w:r>
    </w:p>
    <w:p w:rsidR="007D190C" w:rsidRPr="007D190C" w:rsidRDefault="00DE4D55" w:rsidP="007D190C">
      <w:pPr>
        <w:spacing w:line="360" w:lineRule="auto"/>
        <w:ind w:left="720"/>
        <w:jc w:val="both"/>
        <w:rPr>
          <w:rFonts w:ascii="David" w:hAnsi="David"/>
          <w:b/>
          <w:rtl/>
        </w:rPr>
      </w:pPr>
      <w:r w:rsidRPr="007D190C">
        <w:rPr>
          <w:rFonts w:ascii="David" w:hAnsi="David"/>
          <w:b/>
          <w:bCs/>
          <w:rtl/>
        </w:rPr>
        <w:t>*בתפ"ח 25726-10-16</w:t>
      </w:r>
      <w:r w:rsidRPr="007D190C">
        <w:rPr>
          <w:rFonts w:ascii="David" w:hAnsi="David"/>
          <w:rtl/>
        </w:rPr>
        <w:t xml:space="preserve"> </w:t>
      </w:r>
      <w:r w:rsidRPr="007D190C">
        <w:rPr>
          <w:rFonts w:ascii="David" w:hAnsi="David"/>
          <w:b/>
          <w:bCs/>
          <w:rtl/>
        </w:rPr>
        <w:t xml:space="preserve">מדינת ישראל נ' פלוני </w:t>
      </w:r>
      <w:r w:rsidRPr="007D190C">
        <w:rPr>
          <w:rFonts w:ascii="David" w:hAnsi="David"/>
          <w:rtl/>
        </w:rPr>
        <w:t>(13.9.17)</w:t>
      </w:r>
      <w:r w:rsidRPr="007D190C">
        <w:rPr>
          <w:rFonts w:ascii="David" w:hAnsi="David"/>
          <w:b/>
          <w:bCs/>
          <w:rtl/>
        </w:rPr>
        <w:t xml:space="preserve">, </w:t>
      </w:r>
      <w:r w:rsidRPr="007D190C">
        <w:rPr>
          <w:rFonts w:ascii="David" w:hAnsi="David"/>
          <w:rtl/>
        </w:rPr>
        <w:t xml:space="preserve">הנאשם, יליד 1999, הודה במסגרת הסדר טיעון, בכך שבהיותו קטין, כבן 17.5 שנים ביצע עבירה של מעשה </w:t>
      </w:r>
      <w:r w:rsidRPr="007D190C">
        <w:rPr>
          <w:rFonts w:ascii="David" w:hAnsi="David"/>
          <w:rtl/>
        </w:rPr>
        <w:t>מגונה בנסיבות מחמירות, עבירה לפי סעיפים 348(ב) + 345(ב)(1) בנסיבות של סעיף 345(א)(1) לחוק העונשין כלפי קטינה שהייתה אז כבת 10 שנים.</w:t>
      </w:r>
      <w:r w:rsidRPr="007D190C">
        <w:rPr>
          <w:rFonts w:ascii="David" w:hAnsi="David"/>
          <w:b/>
          <w:bCs/>
          <w:rtl/>
        </w:rPr>
        <w:t xml:space="preserve"> </w:t>
      </w:r>
      <w:r w:rsidRPr="007D190C">
        <w:rPr>
          <w:rFonts w:ascii="David" w:hAnsi="David"/>
          <w:rtl/>
        </w:rPr>
        <w:t>בית משפט החליט שלא להרשיעו לאור ההלך השיקומי צרכיו לעתיד והפוטנציאל השיקומי הטמון בו.</w:t>
      </w:r>
    </w:p>
    <w:p w:rsidR="007D190C" w:rsidRPr="007D190C" w:rsidRDefault="00DE4D55" w:rsidP="007D190C">
      <w:pPr>
        <w:spacing w:line="360" w:lineRule="auto"/>
        <w:ind w:left="720"/>
        <w:jc w:val="both"/>
        <w:rPr>
          <w:rFonts w:ascii="David" w:hAnsi="David"/>
          <w:b/>
          <w:rtl/>
        </w:rPr>
      </w:pPr>
      <w:r w:rsidRPr="007D190C">
        <w:rPr>
          <w:rFonts w:ascii="David" w:hAnsi="David"/>
          <w:b/>
          <w:bCs/>
          <w:rtl/>
        </w:rPr>
        <w:t>*בת"פ 24791-05-20</w:t>
      </w:r>
      <w:r w:rsidRPr="007D190C">
        <w:rPr>
          <w:rFonts w:ascii="David" w:hAnsi="David"/>
          <w:rtl/>
        </w:rPr>
        <w:t xml:space="preserve"> (נוער תל אביב</w:t>
      </w:r>
      <w:r w:rsidRPr="007D190C">
        <w:rPr>
          <w:rFonts w:ascii="David" w:hAnsi="David"/>
          <w:b/>
          <w:bCs/>
          <w:rtl/>
        </w:rPr>
        <w:t>) מדינת</w:t>
      </w:r>
      <w:r w:rsidRPr="007D190C">
        <w:rPr>
          <w:rFonts w:ascii="David" w:hAnsi="David"/>
          <w:b/>
          <w:bCs/>
          <w:rtl/>
        </w:rPr>
        <w:t xml:space="preserve"> ישראל נ' פלוני</w:t>
      </w:r>
      <w:r w:rsidRPr="007D190C">
        <w:rPr>
          <w:rFonts w:ascii="David" w:hAnsi="David"/>
          <w:rtl/>
        </w:rPr>
        <w:t xml:space="preserve"> (4.5.21), קטין כבן 15 בעת ביצוע העבירות, עמד לדין בגין עבירות של מעשה מגונה בנסיבות מחמירות – בבת דודתו שהייתה כבת 13 בעת המעשים. תסקיר שירות המבחן בא בהמלצה טיפולית בעניינו. אימה של המתלוננת העידה בבית המשפט ושיתפה בקושי הרב אשר עובר על המ</w:t>
      </w:r>
      <w:r w:rsidRPr="007D190C">
        <w:rPr>
          <w:rFonts w:ascii="David" w:hAnsi="David"/>
          <w:rtl/>
        </w:rPr>
        <w:t>שפחה ועל הקטינה מאז חשיפת האירועים, וכן אודות הקרע הגדול שנגרם במשפחה המורחבת. בית המשפט קבע כי לאור גילו של הנאשם בעת המעשים, והעובדה כי מצוי בתהליך טיפולי מזה שנתיים וחצי, יש מקום שלא להרשיעו ולסיים את עניינו בדרכי טיפול.</w:t>
      </w:r>
    </w:p>
    <w:p w:rsidR="007D190C" w:rsidRPr="007D190C" w:rsidRDefault="007D190C" w:rsidP="007D190C">
      <w:pPr>
        <w:spacing w:line="360" w:lineRule="auto"/>
        <w:jc w:val="both"/>
        <w:rPr>
          <w:rFonts w:ascii="David" w:hAnsi="David"/>
          <w:b/>
          <w:bCs/>
          <w:rtl/>
        </w:rPr>
      </w:pPr>
    </w:p>
    <w:p w:rsidR="007D190C" w:rsidRPr="007D190C" w:rsidRDefault="00DE4D55" w:rsidP="007D190C">
      <w:pPr>
        <w:spacing w:line="360" w:lineRule="auto"/>
        <w:jc w:val="both"/>
        <w:rPr>
          <w:rFonts w:ascii="David" w:hAnsi="David"/>
          <w:rtl/>
        </w:rPr>
      </w:pPr>
      <w:r w:rsidRPr="007D190C">
        <w:rPr>
          <w:rFonts w:ascii="David" w:hAnsi="David"/>
          <w:rtl/>
        </w:rPr>
        <w:t>8.7</w:t>
      </w:r>
      <w:r w:rsidRPr="007D190C">
        <w:rPr>
          <w:rFonts w:ascii="David" w:hAnsi="David"/>
          <w:rtl/>
        </w:rPr>
        <w:tab/>
        <w:t>מהפסיקה שפורטה לעיל (וגם כז</w:t>
      </w:r>
      <w:r w:rsidRPr="007D190C">
        <w:rPr>
          <w:rFonts w:ascii="David" w:hAnsi="David"/>
          <w:rtl/>
        </w:rPr>
        <w:t>ו שלא פורטה), תוך השוואת המקרים שם למקרה שלנו,</w:t>
      </w:r>
      <w:r w:rsidRPr="007D190C">
        <w:rPr>
          <w:rFonts w:ascii="David" w:hAnsi="David"/>
          <w:rtl/>
        </w:rPr>
        <w:tab/>
        <w:t xml:space="preserve">המסקנה המתבקשת היא שעתירת המאשימה להשתת עונש מאסר בפועל לתקופה כה </w:t>
      </w:r>
      <w:r w:rsidRPr="007D190C">
        <w:rPr>
          <w:rFonts w:ascii="David" w:hAnsi="David"/>
          <w:rtl/>
        </w:rPr>
        <w:lastRenderedPageBreak/>
        <w:tab/>
        <w:t xml:space="preserve">ממושכת של  </w:t>
      </w:r>
      <w:r w:rsidRPr="007D190C">
        <w:rPr>
          <w:rFonts w:ascii="David" w:hAnsi="David"/>
          <w:b/>
          <w:bCs/>
          <w:rtl/>
        </w:rPr>
        <w:t>6 שנים</w:t>
      </w:r>
      <w:r w:rsidRPr="007D190C">
        <w:rPr>
          <w:rFonts w:ascii="David" w:hAnsi="David"/>
          <w:rtl/>
        </w:rPr>
        <w:t xml:space="preserve">, זאת על רקע מכלול העובדות והנסיבות בתיק זה, כפי שפורט ועוד </w:t>
      </w:r>
      <w:r w:rsidRPr="007D190C">
        <w:rPr>
          <w:rFonts w:ascii="David" w:hAnsi="David"/>
          <w:rtl/>
        </w:rPr>
        <w:tab/>
        <w:t>יפורט, היא חריגה בחומרתה וקשה</w:t>
      </w:r>
      <w:r w:rsidRPr="007D190C">
        <w:rPr>
          <w:rFonts w:ascii="David" w:hAnsi="David"/>
        </w:rPr>
        <w:t xml:space="preserve"> </w:t>
      </w:r>
      <w:r w:rsidRPr="007D190C">
        <w:rPr>
          <w:rFonts w:ascii="David" w:hAnsi="David"/>
          <w:rtl/>
        </w:rPr>
        <w:t>למצוא לה אח ורע בפסיקה. הרצון להבי</w:t>
      </w:r>
      <w:r w:rsidRPr="007D190C">
        <w:rPr>
          <w:rFonts w:ascii="David" w:hAnsi="David"/>
          <w:rtl/>
        </w:rPr>
        <w:t xml:space="preserve">ע מסר מרתיע </w:t>
      </w:r>
      <w:r w:rsidRPr="007D190C">
        <w:rPr>
          <w:rFonts w:ascii="David" w:hAnsi="David"/>
          <w:rtl/>
        </w:rPr>
        <w:tab/>
        <w:t xml:space="preserve">ולשקף מדיניות עונשית מחמירה בעבירות מין המבוצעות בקטינים על ידי קטינים, היא </w:t>
      </w:r>
      <w:r w:rsidRPr="007D190C">
        <w:rPr>
          <w:rFonts w:ascii="David" w:hAnsi="David"/>
          <w:rtl/>
        </w:rPr>
        <w:tab/>
        <w:t xml:space="preserve">מובנת, </w:t>
      </w:r>
      <w:r w:rsidRPr="007D190C">
        <w:rPr>
          <w:rFonts w:ascii="David" w:hAnsi="David"/>
          <w:rtl/>
        </w:rPr>
        <w:tab/>
        <w:t xml:space="preserve">אך יש קושי בחריגה דרמטית ממדיניות הענישה הקיימת. לא זו בלבד שמגמת </w:t>
      </w:r>
      <w:r w:rsidRPr="007D190C">
        <w:rPr>
          <w:rFonts w:ascii="David" w:hAnsi="David"/>
          <w:rtl/>
        </w:rPr>
        <w:tab/>
        <w:t xml:space="preserve">החמרה צריכה להיעשות בהדרגה, אלא היא איננה יכולה להסיט הצידה שיקולי ענישה </w:t>
      </w:r>
      <w:r w:rsidRPr="007D190C">
        <w:rPr>
          <w:rFonts w:ascii="David" w:hAnsi="David"/>
          <w:rtl/>
        </w:rPr>
        <w:tab/>
        <w:t>רלוונטיים אחרים.</w:t>
      </w:r>
    </w:p>
    <w:p w:rsidR="007D190C" w:rsidRPr="007D190C" w:rsidRDefault="00DE4D55" w:rsidP="007D190C">
      <w:pPr>
        <w:spacing w:line="360" w:lineRule="auto"/>
        <w:jc w:val="both"/>
        <w:rPr>
          <w:rFonts w:ascii="David" w:hAnsi="David"/>
          <w:rtl/>
        </w:rPr>
      </w:pPr>
      <w:r w:rsidRPr="007D190C">
        <w:rPr>
          <w:rFonts w:ascii="David" w:hAnsi="David"/>
          <w:rtl/>
        </w:rPr>
        <w:tab/>
        <w:t xml:space="preserve"> </w:t>
      </w:r>
    </w:p>
    <w:p w:rsidR="007D190C" w:rsidRPr="007D190C" w:rsidRDefault="00DE4D55" w:rsidP="007D190C">
      <w:pPr>
        <w:spacing w:line="360" w:lineRule="auto"/>
        <w:jc w:val="both"/>
        <w:rPr>
          <w:rFonts w:ascii="David" w:hAnsi="David"/>
          <w:b/>
          <w:bCs/>
          <w:u w:val="single"/>
          <w:rtl/>
        </w:rPr>
      </w:pPr>
      <w:r w:rsidRPr="007D190C">
        <w:rPr>
          <w:rFonts w:ascii="David" w:hAnsi="David"/>
          <w:rtl/>
        </w:rPr>
        <w:tab/>
      </w:r>
      <w:r w:rsidRPr="007D190C">
        <w:rPr>
          <w:rFonts w:ascii="David" w:hAnsi="David"/>
          <w:b/>
          <w:bCs/>
          <w:u w:val="single"/>
          <w:rtl/>
        </w:rPr>
        <w:t>מעון נעול חלף מאסר</w:t>
      </w:r>
    </w:p>
    <w:p w:rsidR="007D190C" w:rsidRPr="007D190C" w:rsidRDefault="00DE4D55" w:rsidP="007D190C">
      <w:pPr>
        <w:spacing w:line="360" w:lineRule="auto"/>
        <w:jc w:val="both"/>
        <w:rPr>
          <w:rFonts w:ascii="David" w:hAnsi="David"/>
          <w:rtl/>
        </w:rPr>
      </w:pPr>
      <w:r w:rsidRPr="007D190C">
        <w:rPr>
          <w:rFonts w:ascii="David" w:hAnsi="David"/>
          <w:rtl/>
        </w:rPr>
        <w:tab/>
      </w:r>
    </w:p>
    <w:p w:rsidR="007D190C" w:rsidRPr="007D190C" w:rsidRDefault="00DE4D55" w:rsidP="007D190C">
      <w:pPr>
        <w:spacing w:line="360" w:lineRule="auto"/>
        <w:jc w:val="both"/>
        <w:rPr>
          <w:rFonts w:ascii="David" w:hAnsi="David"/>
          <w:rtl/>
        </w:rPr>
      </w:pPr>
      <w:r w:rsidRPr="007D190C">
        <w:rPr>
          <w:rFonts w:ascii="David" w:hAnsi="David"/>
          <w:rtl/>
        </w:rPr>
        <w:t>8.8</w:t>
      </w:r>
      <w:r w:rsidRPr="007D190C">
        <w:rPr>
          <w:rFonts w:ascii="David" w:hAnsi="David"/>
          <w:rtl/>
        </w:rPr>
        <w:tab/>
        <w:t xml:space="preserve">מהאמור עד כה, כמו גם מהפסיקה שאליה הפניתי, ניתן להגיע למסקנה שבענישת קטינים, </w:t>
      </w:r>
      <w:r w:rsidRPr="007D190C">
        <w:rPr>
          <w:rFonts w:ascii="David" w:hAnsi="David"/>
          <w:rtl/>
        </w:rPr>
        <w:tab/>
        <w:t xml:space="preserve">לא כל שכן בגיל צעיר כבמקרה שלנו, הסנקציה של מאסר בפועל איננה ננקטת כדבר </w:t>
      </w:r>
      <w:r w:rsidRPr="007D190C">
        <w:rPr>
          <w:rFonts w:ascii="David" w:hAnsi="David"/>
          <w:rtl/>
        </w:rPr>
        <w:tab/>
        <w:t xml:space="preserve">שבשגרה אלא, מקום שבו ענישה אחרת מבין האפשרויות העונשיות העומדות לגבי </w:t>
      </w:r>
      <w:r w:rsidRPr="007D190C">
        <w:rPr>
          <w:rFonts w:ascii="David" w:hAnsi="David"/>
          <w:rtl/>
        </w:rPr>
        <w:tab/>
      </w:r>
      <w:r w:rsidRPr="007D190C">
        <w:rPr>
          <w:rFonts w:ascii="David" w:hAnsi="David"/>
          <w:rtl/>
        </w:rPr>
        <w:t xml:space="preserve">קטינים, איננה רלוונטית ו/או איננה הולמת ו/או איננה עונה על מטרות הענישה. כידוע, </w:t>
      </w:r>
      <w:r w:rsidRPr="007D190C">
        <w:rPr>
          <w:rFonts w:ascii="David" w:hAnsi="David"/>
          <w:rtl/>
        </w:rPr>
        <w:tab/>
        <w:t xml:space="preserve">להבדיל ממבוגרים שלגביהם מאסר בפועל היא הסנקציה היחידה שגלומה בה שלילת </w:t>
      </w:r>
      <w:r w:rsidRPr="007D190C">
        <w:rPr>
          <w:rFonts w:ascii="David" w:hAnsi="David"/>
          <w:rtl/>
        </w:rPr>
        <w:tab/>
        <w:t xml:space="preserve">חירות והרחקה </w:t>
      </w:r>
      <w:r w:rsidRPr="007D190C">
        <w:rPr>
          <w:rFonts w:ascii="David" w:hAnsi="David"/>
          <w:rtl/>
        </w:rPr>
        <w:tab/>
        <w:t xml:space="preserve">מהחברה, הרי שלגבי קטינים קיימת גם חלופה נוספת. פסיקת בית </w:t>
      </w:r>
      <w:r w:rsidRPr="007D190C">
        <w:rPr>
          <w:rFonts w:ascii="David" w:hAnsi="David"/>
          <w:rtl/>
        </w:rPr>
        <w:tab/>
        <w:t>המשפט העליון נתנה משקל למשמעות ה</w:t>
      </w:r>
      <w:r w:rsidRPr="007D190C">
        <w:rPr>
          <w:rFonts w:ascii="David" w:hAnsi="David"/>
          <w:rtl/>
        </w:rPr>
        <w:t xml:space="preserve">שלילית של שהייתו של קטין בכלא, כפי שצוטט </w:t>
      </w:r>
      <w:r w:rsidRPr="007D190C">
        <w:rPr>
          <w:rFonts w:ascii="David" w:hAnsi="David"/>
          <w:rtl/>
        </w:rPr>
        <w:tab/>
        <w:t xml:space="preserve">קודם, וכן לשאלת השיקום כחלק מהאינטרס הציבורי. אסור לשכוח שכלא איננו מקום </w:t>
      </w:r>
      <w:r w:rsidRPr="007D190C">
        <w:rPr>
          <w:rFonts w:ascii="David" w:hAnsi="David"/>
          <w:rtl/>
        </w:rPr>
        <w:tab/>
        <w:t xml:space="preserve">אופטימאלי, מקום שממנו אדם יוצא בהכרח "טוב יותר". לפעמים ההיפך הוא הנכון. הגם </w:t>
      </w:r>
      <w:r w:rsidRPr="007D190C">
        <w:rPr>
          <w:rFonts w:ascii="David" w:hAnsi="David"/>
          <w:rtl/>
        </w:rPr>
        <w:tab/>
        <w:t>שתיאורטית קיימות אופציות טיפול בכלא, לא תמיד הדבר בר השגה, יעי</w:t>
      </w:r>
      <w:r w:rsidRPr="007D190C">
        <w:rPr>
          <w:rFonts w:ascii="David" w:hAnsi="David"/>
          <w:rtl/>
        </w:rPr>
        <w:t xml:space="preserve">ל וצליח, במיוחד </w:t>
      </w:r>
      <w:r w:rsidRPr="007D190C">
        <w:rPr>
          <w:rFonts w:ascii="David" w:hAnsi="David"/>
          <w:rtl/>
        </w:rPr>
        <w:tab/>
        <w:t>אם תקופת המאסר איננה ארוכה.</w:t>
      </w:r>
    </w:p>
    <w:p w:rsidR="007D190C" w:rsidRPr="007D190C" w:rsidRDefault="00DE4D55" w:rsidP="007D190C">
      <w:pPr>
        <w:spacing w:line="360" w:lineRule="auto"/>
        <w:jc w:val="both"/>
        <w:rPr>
          <w:rFonts w:ascii="David" w:hAnsi="David"/>
          <w:rtl/>
        </w:rPr>
      </w:pPr>
      <w:r w:rsidRPr="007D190C">
        <w:rPr>
          <w:rFonts w:ascii="David" w:hAnsi="David"/>
          <w:rtl/>
        </w:rPr>
        <w:tab/>
        <w:t xml:space="preserve">מאידך, יש להדוף מכל וכל את המחשבה או הטענה ש"מעון נעול" הוא מעין "קייטנה" או </w:t>
      </w:r>
      <w:r w:rsidRPr="007D190C">
        <w:rPr>
          <w:rFonts w:ascii="David" w:hAnsi="David"/>
          <w:rtl/>
        </w:rPr>
        <w:tab/>
        <w:t xml:space="preserve">מקום נופש, כפי </w:t>
      </w:r>
      <w:r w:rsidRPr="007D190C">
        <w:rPr>
          <w:rFonts w:ascii="David" w:hAnsi="David"/>
          <w:rtl/>
        </w:rPr>
        <w:tab/>
        <w:t xml:space="preserve">שניתן היה להבין מטיעוני המאשימה, בוודאי לא כך המעון הנעול שבו </w:t>
      </w:r>
      <w:r w:rsidRPr="007D190C">
        <w:rPr>
          <w:rFonts w:ascii="David" w:hAnsi="David"/>
          <w:rtl/>
        </w:rPr>
        <w:tab/>
        <w:t>שוהה הנאשם. "מעון נעול" כשמו כן הוא. מדובר בהחזקה במס</w:t>
      </w:r>
      <w:r w:rsidRPr="007D190C">
        <w:rPr>
          <w:rFonts w:ascii="David" w:hAnsi="David"/>
          <w:rtl/>
        </w:rPr>
        <w:t xml:space="preserve">גרת מפקחת 24 שעות </w:t>
      </w:r>
      <w:r w:rsidRPr="007D190C">
        <w:rPr>
          <w:rFonts w:ascii="David" w:hAnsi="David"/>
          <w:rtl/>
        </w:rPr>
        <w:tab/>
        <w:t xml:space="preserve">שמהווה תחליף למאסר. מדובר במסגרת סגורה, מחייבת ונוקשה. הנאשם איננו חופשי </w:t>
      </w:r>
      <w:r w:rsidRPr="007D190C">
        <w:rPr>
          <w:rFonts w:ascii="David" w:hAnsi="David"/>
          <w:rtl/>
        </w:rPr>
        <w:tab/>
        <w:t xml:space="preserve">לעשות כרצונו ולנוע כרצונו, הוא מנותק מביתו ומחבריו, הוא משנה את אורחות חייו ועליו </w:t>
      </w:r>
      <w:r w:rsidRPr="007D190C">
        <w:rPr>
          <w:rFonts w:ascii="David" w:hAnsi="David"/>
          <w:rtl/>
        </w:rPr>
        <w:tab/>
        <w:t xml:space="preserve">לעמוד בדרישות המקום, לרבות בהליך הטיפול, שאם לא כן הוא צפוי להישלח למאסר ממש. </w:t>
      </w:r>
      <w:r w:rsidRPr="007D190C">
        <w:rPr>
          <w:rFonts w:ascii="David" w:hAnsi="David"/>
          <w:rtl/>
        </w:rPr>
        <w:tab/>
        <w:t>ה</w:t>
      </w:r>
      <w:r w:rsidRPr="007D190C">
        <w:rPr>
          <w:rFonts w:ascii="David" w:hAnsi="David"/>
          <w:rtl/>
        </w:rPr>
        <w:t xml:space="preserve">גם שמדובר במסגרת שהיא נוחה ומכילה יותר מכלא, עם אוריינטציה טיפולית, היא מהווה </w:t>
      </w:r>
      <w:r w:rsidRPr="007D190C">
        <w:rPr>
          <w:rFonts w:ascii="David" w:hAnsi="David"/>
          <w:rtl/>
        </w:rPr>
        <w:tab/>
        <w:t xml:space="preserve">שלילת חירות, על כל המשמעויות הנובעות מכך. כאשר עסקינן בענישת קטינים מדובר </w:t>
      </w:r>
      <w:r w:rsidRPr="007D190C">
        <w:rPr>
          <w:rFonts w:ascii="David" w:hAnsi="David"/>
          <w:rtl/>
        </w:rPr>
        <w:tab/>
        <w:t>בסנקציה עונשית הנחשבת חמורה.</w:t>
      </w:r>
    </w:p>
    <w:p w:rsidR="007D190C" w:rsidRPr="007D190C" w:rsidRDefault="00DE4D55" w:rsidP="007D190C">
      <w:pPr>
        <w:spacing w:line="360" w:lineRule="auto"/>
        <w:jc w:val="both"/>
        <w:rPr>
          <w:rFonts w:ascii="David" w:hAnsi="David"/>
          <w:rtl/>
        </w:rPr>
      </w:pPr>
      <w:r w:rsidRPr="007D190C">
        <w:rPr>
          <w:rFonts w:ascii="David" w:hAnsi="David"/>
          <w:rtl/>
        </w:rPr>
        <w:tab/>
      </w:r>
    </w:p>
    <w:p w:rsidR="007D190C" w:rsidRPr="007D190C" w:rsidRDefault="00DE4D55" w:rsidP="007D190C">
      <w:pPr>
        <w:spacing w:line="360" w:lineRule="auto"/>
        <w:jc w:val="both"/>
        <w:rPr>
          <w:rFonts w:ascii="David" w:hAnsi="David"/>
          <w:b/>
          <w:bCs/>
          <w:u w:val="single"/>
          <w:rtl/>
        </w:rPr>
      </w:pPr>
      <w:r w:rsidRPr="007D190C">
        <w:rPr>
          <w:rFonts w:ascii="David" w:hAnsi="David"/>
          <w:b/>
          <w:bCs/>
          <w:rtl/>
        </w:rPr>
        <w:tab/>
      </w:r>
      <w:r w:rsidRPr="007D190C">
        <w:rPr>
          <w:rFonts w:ascii="David" w:hAnsi="David"/>
          <w:b/>
          <w:bCs/>
          <w:u w:val="single"/>
          <w:rtl/>
        </w:rPr>
        <w:t>המלצת שירות המבחן בתסקיר</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ind w:left="720" w:hanging="720"/>
        <w:jc w:val="both"/>
        <w:rPr>
          <w:rFonts w:ascii="David" w:hAnsi="David"/>
          <w:rtl/>
        </w:rPr>
      </w:pPr>
      <w:r w:rsidRPr="007D190C">
        <w:rPr>
          <w:rFonts w:ascii="David" w:hAnsi="David"/>
          <w:rtl/>
        </w:rPr>
        <w:t>8.9</w:t>
      </w:r>
      <w:r w:rsidRPr="007D190C">
        <w:rPr>
          <w:rFonts w:ascii="David" w:hAnsi="David"/>
          <w:rtl/>
        </w:rPr>
        <w:tab/>
        <w:t>במקרה שלנו הוגש אודות הנאשם תסקיר מאוד מ</w:t>
      </w:r>
      <w:r w:rsidRPr="007D190C">
        <w:rPr>
          <w:rFonts w:ascii="David" w:hAnsi="David"/>
          <w:rtl/>
        </w:rPr>
        <w:t xml:space="preserve">פורט ומנומק. בצד בעיות אישיותיות וקשיים שהוצגו, ניכרה אופטימיות לגבי סיכויי הנאשם להשתלב בטיפול ולהשתקם. </w:t>
      </w:r>
      <w:r w:rsidRPr="007D190C">
        <w:rPr>
          <w:rFonts w:ascii="David" w:hAnsi="David"/>
          <w:rtl/>
        </w:rPr>
        <w:tab/>
        <w:t xml:space="preserve">אינני </w:t>
      </w:r>
      <w:r w:rsidRPr="007D190C">
        <w:rPr>
          <w:rFonts w:ascii="David" w:hAnsi="David"/>
          <w:rtl/>
        </w:rPr>
        <w:lastRenderedPageBreak/>
        <w:t xml:space="preserve">מתעלמת מכך שהנאשם נמצא עדיין בתחילת הדרך, ואולם, זאת מטיבו של ההליך, שהוא ממושך. אסור גם לשכוח ששירות המבחן סבר שנכון לדחות את הדיון כדי להמשיך </w:t>
      </w:r>
      <w:r w:rsidRPr="007D190C">
        <w:rPr>
          <w:rFonts w:ascii="David" w:hAnsi="David"/>
          <w:rtl/>
        </w:rPr>
        <w:t>במעקב הטיפולי, מעקב שהוא הליך מקובל בבית המשפט לנוער. התביעה סירבה נחרצות לדחייה נוכח עמדת הנפגעות שטענו שהימשכות ההליכים מונעת מהן לפתוח דף חדש בחייהן. קשה אפוא לאחוז בחבל משתי קצותיו. קשה להלום טענה שהנאשם עדיין מצוי בראשית הטיפול ולא התקדם בו דיו עד כה,</w:t>
      </w:r>
      <w:r w:rsidRPr="007D190C">
        <w:rPr>
          <w:rFonts w:ascii="David" w:hAnsi="David"/>
          <w:rtl/>
        </w:rPr>
        <w:t xml:space="preserve"> מקום שבו התביעה התנגדה לדחייה שנועדה לבחון ולוודא  את התקדמותו. אכן, התקדמותו של הנאשם הייתה איטית עד כה מסיבות נפשיות ואחרות שהוסברו על ידי קצינת המבחן,  ואולם  יש אינדיקציה לומר שהנאשם מגלה מוטיבציה, עומד בכללי המקום, מבטא רצון לטיפול, אשר קצינת המבחן ה</w:t>
      </w:r>
      <w:r w:rsidRPr="007D190C">
        <w:rPr>
          <w:rFonts w:ascii="David" w:hAnsi="David"/>
          <w:rtl/>
        </w:rPr>
        <w:t xml:space="preserve">תרשמה מכנותו, כאשר מכלול הנתונים שהובאו על ידי שירות המבחן מצדיקים לכאורה מתן הזדמנות לכך. </w:t>
      </w:r>
    </w:p>
    <w:p w:rsidR="007D190C" w:rsidRPr="007D190C" w:rsidRDefault="00DE4D55" w:rsidP="007D190C">
      <w:pPr>
        <w:spacing w:line="360" w:lineRule="auto"/>
        <w:jc w:val="both"/>
        <w:rPr>
          <w:rFonts w:ascii="David" w:hAnsi="David"/>
          <w:rtl/>
        </w:rPr>
      </w:pPr>
      <w:r w:rsidRPr="007D190C">
        <w:rPr>
          <w:rFonts w:ascii="David" w:hAnsi="David"/>
          <w:rtl/>
        </w:rPr>
        <w:tab/>
        <w:t xml:space="preserve">קצינת המבחן, גב' תמר יצחקי, הבהירה בהקשר זה בדיון כי תהליכי טיפול ושיקום הם </w:t>
      </w:r>
      <w:r w:rsidRPr="007D190C">
        <w:rPr>
          <w:rFonts w:ascii="David" w:hAnsi="David"/>
          <w:rtl/>
        </w:rPr>
        <w:tab/>
        <w:t xml:space="preserve">ארוכים מטיבם, כאשר פרק הזמן שבו כבר שוהה הנאשם במעון איננו מספיק על מנת שניתן </w:t>
      </w:r>
      <w:r w:rsidRPr="007D190C">
        <w:rPr>
          <w:rFonts w:ascii="David" w:hAnsi="David"/>
          <w:rtl/>
        </w:rPr>
        <w:tab/>
        <w:t>לדבר על</w:t>
      </w:r>
      <w:r w:rsidRPr="007D190C">
        <w:rPr>
          <w:rFonts w:ascii="David" w:hAnsi="David"/>
          <w:rtl/>
        </w:rPr>
        <w:t xml:space="preserve"> תחילת שיקום. עם זאת אמרה (ראה עמ' 19): </w:t>
      </w:r>
      <w:r w:rsidRPr="007D190C">
        <w:rPr>
          <w:rFonts w:ascii="David" w:hAnsi="David"/>
          <w:b/>
          <w:bCs/>
          <w:rtl/>
        </w:rPr>
        <w:t xml:space="preserve">"מתחילת הקשר עם השירות </w:t>
      </w:r>
      <w:r w:rsidRPr="007D190C">
        <w:rPr>
          <w:rFonts w:ascii="David" w:hAnsi="David"/>
          <w:b/>
          <w:bCs/>
          <w:rtl/>
        </w:rPr>
        <w:tab/>
        <w:t xml:space="preserve">הנאשם משתף פעולה באופן מלא....בתוך המעון נבנתה תכנית טיפול פרטנית של מפגש </w:t>
      </w:r>
      <w:r w:rsidRPr="007D190C">
        <w:rPr>
          <w:rFonts w:ascii="David" w:hAnsi="David"/>
          <w:b/>
          <w:bCs/>
          <w:rtl/>
        </w:rPr>
        <w:tab/>
        <w:t xml:space="preserve">עם עו"סית של קבוצה לנערים פגועים מינית, התכנית מאד אינטנסיבית...הגשנו תסקיר </w:t>
      </w:r>
      <w:r w:rsidRPr="007D190C">
        <w:rPr>
          <w:rFonts w:ascii="David" w:hAnsi="David"/>
          <w:b/>
          <w:bCs/>
          <w:rtl/>
        </w:rPr>
        <w:tab/>
        <w:t>עם המלצות סופיות שהתקבלו בהיוועצות הכי מ</w:t>
      </w:r>
      <w:r w:rsidRPr="007D190C">
        <w:rPr>
          <w:rFonts w:ascii="David" w:hAnsi="David"/>
          <w:b/>
          <w:bCs/>
          <w:rtl/>
        </w:rPr>
        <w:t xml:space="preserve">ורחבת שיכולה להיות, כולל המפקחת </w:t>
      </w:r>
      <w:r w:rsidRPr="007D190C">
        <w:rPr>
          <w:rFonts w:ascii="David" w:hAnsi="David"/>
          <w:b/>
          <w:bCs/>
          <w:rtl/>
        </w:rPr>
        <w:tab/>
        <w:t xml:space="preserve">הארצית שלנו. מה שעומד לנגד עיננו זה התפקוד שלו במעון, ההתמודדות, ההשתלבות </w:t>
      </w:r>
      <w:r w:rsidRPr="007D190C">
        <w:rPr>
          <w:rFonts w:ascii="David" w:hAnsi="David"/>
          <w:b/>
          <w:bCs/>
          <w:rtl/>
        </w:rPr>
        <w:tab/>
        <w:t xml:space="preserve">בקבוצה וכאן המקום להתייחס לעיתוי כניסתו לקבוצה...הנאשם לא נכנס (קודם) </w:t>
      </w:r>
      <w:r w:rsidRPr="007D190C">
        <w:rPr>
          <w:rFonts w:ascii="David" w:hAnsi="David"/>
          <w:b/>
          <w:bCs/>
          <w:rtl/>
        </w:rPr>
        <w:tab/>
        <w:t xml:space="preserve">לקבוצה גם בגלל מצב נפשי ועל רקע נפשי שמפורט בתסקיר...". </w:t>
      </w:r>
    </w:p>
    <w:p w:rsidR="007D190C" w:rsidRPr="007D190C" w:rsidRDefault="00DE4D55" w:rsidP="007D190C">
      <w:pPr>
        <w:spacing w:line="360" w:lineRule="auto"/>
        <w:jc w:val="both"/>
        <w:rPr>
          <w:rFonts w:ascii="David" w:hAnsi="David"/>
          <w:rtl/>
        </w:rPr>
      </w:pPr>
      <w:r w:rsidRPr="007D190C">
        <w:rPr>
          <w:rFonts w:ascii="David" w:hAnsi="David"/>
          <w:rtl/>
        </w:rPr>
        <w:tab/>
        <w:t>דברים דומים, כאמור,</w:t>
      </w:r>
      <w:r w:rsidRPr="007D190C">
        <w:rPr>
          <w:rFonts w:ascii="David" w:hAnsi="David"/>
          <w:rtl/>
        </w:rPr>
        <w:t xml:space="preserve"> שמענו גם מפי מר אושרי בראל מנהל המעון בהדגישו, בין השאר, </w:t>
      </w:r>
      <w:r w:rsidRPr="007D190C">
        <w:rPr>
          <w:rFonts w:ascii="David" w:hAnsi="David"/>
          <w:rtl/>
        </w:rPr>
        <w:tab/>
        <w:t xml:space="preserve">שההרתעה והענישה לא יוכלו להוות לבדם גורמים שיאיינו את המסוכנות, ויש </w:t>
      </w:r>
      <w:r w:rsidRPr="007D190C">
        <w:rPr>
          <w:rFonts w:ascii="David" w:hAnsi="David"/>
          <w:rtl/>
        </w:rPr>
        <w:tab/>
        <w:t xml:space="preserve">חשיבות לטיפול כדי לוודא שעם חזרתו של הנאשם לחברה תפחת רמת הסיכון. הנאשם </w:t>
      </w:r>
      <w:r w:rsidRPr="007D190C">
        <w:rPr>
          <w:rFonts w:ascii="David" w:hAnsi="David"/>
          <w:rtl/>
        </w:rPr>
        <w:tab/>
        <w:t>נמצא בגיל ובמצב שבו קיים לגביו עדיין אופק שיקומי.</w:t>
      </w:r>
    </w:p>
    <w:p w:rsidR="007D190C" w:rsidRPr="007D190C" w:rsidRDefault="00DE4D55" w:rsidP="007D190C">
      <w:pPr>
        <w:spacing w:line="360" w:lineRule="auto"/>
        <w:ind w:left="708" w:hanging="567"/>
        <w:contextualSpacing/>
        <w:jc w:val="both"/>
        <w:rPr>
          <w:rFonts w:ascii="David" w:hAnsi="David"/>
          <w:u w:val="single"/>
          <w:rtl/>
        </w:rPr>
      </w:pPr>
      <w:r w:rsidRPr="007D190C">
        <w:rPr>
          <w:rFonts w:ascii="David" w:hAnsi="David"/>
          <w:rtl/>
        </w:rPr>
        <w:tab/>
        <w:t>לא א</w:t>
      </w:r>
      <w:r w:rsidRPr="007D190C">
        <w:rPr>
          <w:rFonts w:ascii="David" w:hAnsi="David"/>
          <w:rtl/>
        </w:rPr>
        <w:t xml:space="preserve">וכל להסכים עם האופן שבו מבקשת התביעה להתבונן על האמור בתסקיר ועל הליכי הטיפול. התסקיר כטיבו עומד על הקשיים ועל הנתונים האישיותיים השונים של הנאשם הטעונים טיפול, אבל המסקנה המקצועית של עורכי התסקיר היא דווקא שקיים בהחלט אופק טיפולי וסיכוי לשיקום. מדרך הטבע </w:t>
      </w:r>
      <w:r w:rsidRPr="007D190C">
        <w:rPr>
          <w:rFonts w:ascii="David" w:hAnsi="David"/>
          <w:rtl/>
        </w:rPr>
        <w:t xml:space="preserve">מדובר בתהליך ארוך. איש איננו יכול להבטיח הצלחה בשיקום, ראיית הנולד לא לנו היא, ואולם </w:t>
      </w:r>
      <w:r w:rsidRPr="007D190C">
        <w:rPr>
          <w:rFonts w:ascii="David" w:hAnsi="David"/>
          <w:u w:val="single"/>
          <w:rtl/>
        </w:rPr>
        <w:t>מקום שבו על דעת הגורמים המקצועיים קיים לכך סיכוי, ומנגד, כאשר בהעדרו קיים סיכון - הרי שנכון לתת את הסיכוי.</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jc w:val="both"/>
        <w:rPr>
          <w:rFonts w:ascii="David" w:hAnsi="David"/>
          <w:rtl/>
        </w:rPr>
      </w:pPr>
      <w:r w:rsidRPr="007D190C">
        <w:rPr>
          <w:rFonts w:ascii="David" w:hAnsi="David"/>
          <w:rtl/>
        </w:rPr>
        <w:tab/>
        <w:t>כאמור, לעמדת גורמי הטיפול חשיבות גדולה ומשמעותית בענייננו. אין</w:t>
      </w:r>
      <w:r w:rsidRPr="007D190C">
        <w:rPr>
          <w:rFonts w:ascii="David" w:hAnsi="David"/>
          <w:rtl/>
        </w:rPr>
        <w:t xml:space="preserve"> זה המקרה, דוגמתו </w:t>
      </w:r>
      <w:r w:rsidRPr="007D190C">
        <w:rPr>
          <w:rFonts w:ascii="David" w:hAnsi="David"/>
          <w:rtl/>
        </w:rPr>
        <w:tab/>
        <w:t xml:space="preserve">ראינו בפסיקה, אודות קטינים, חלקם בעלי מאפיינים עברייניים, שאופציית השיקום לא </w:t>
      </w:r>
      <w:r w:rsidRPr="007D190C">
        <w:rPr>
          <w:rFonts w:ascii="David" w:hAnsi="David"/>
          <w:rtl/>
        </w:rPr>
        <w:tab/>
        <w:t xml:space="preserve">הייתה קיימת לגביהם ו/או לא נראתה רצינית ו/או נכזבה. הנאשם נעדר עבר פלילי, "בן </w:t>
      </w:r>
      <w:r w:rsidRPr="007D190C">
        <w:rPr>
          <w:rFonts w:ascii="David" w:hAnsi="David"/>
          <w:rtl/>
        </w:rPr>
        <w:tab/>
        <w:t xml:space="preserve">טובים" </w:t>
      </w:r>
      <w:r w:rsidRPr="007D190C">
        <w:rPr>
          <w:rFonts w:ascii="David" w:hAnsi="David"/>
          <w:rtl/>
        </w:rPr>
        <w:tab/>
        <w:t xml:space="preserve">כהגדרת המאשימה, בן למשפחה נורמטיבית אשר התגייסה לטובת שיקומו. הוריו </w:t>
      </w:r>
      <w:r w:rsidRPr="007D190C">
        <w:rPr>
          <w:rFonts w:ascii="David" w:hAnsi="David"/>
          <w:rtl/>
        </w:rPr>
        <w:lastRenderedPageBreak/>
        <w:tab/>
        <w:t xml:space="preserve">גם </w:t>
      </w:r>
      <w:r w:rsidRPr="007D190C">
        <w:rPr>
          <w:rFonts w:ascii="David" w:hAnsi="David"/>
          <w:rtl/>
        </w:rPr>
        <w:t xml:space="preserve">הם </w:t>
      </w:r>
      <w:r w:rsidRPr="007D190C">
        <w:rPr>
          <w:rFonts w:ascii="David" w:hAnsi="David"/>
          <w:rtl/>
        </w:rPr>
        <w:tab/>
        <w:t xml:space="preserve">עברו טיפול ונרתמו לתהליך. כאמור, בהתאם לחוות דעת הגורמים הטיפוליים, קיים </w:t>
      </w:r>
      <w:r w:rsidRPr="007D190C">
        <w:rPr>
          <w:rFonts w:ascii="David" w:hAnsi="David"/>
          <w:rtl/>
        </w:rPr>
        <w:tab/>
        <w:t>פוטנציאל שיקום.</w:t>
      </w:r>
    </w:p>
    <w:p w:rsidR="007D190C" w:rsidRPr="007D190C" w:rsidRDefault="007D190C" w:rsidP="007D190C">
      <w:pPr>
        <w:spacing w:line="360" w:lineRule="auto"/>
        <w:jc w:val="both"/>
        <w:rPr>
          <w:rFonts w:ascii="David" w:hAnsi="David"/>
        </w:rPr>
      </w:pPr>
    </w:p>
    <w:p w:rsidR="007D190C" w:rsidRPr="007D190C" w:rsidRDefault="00DE4D55" w:rsidP="007D190C">
      <w:pPr>
        <w:spacing w:line="360" w:lineRule="auto"/>
        <w:jc w:val="both"/>
        <w:rPr>
          <w:rFonts w:ascii="David" w:hAnsi="David"/>
          <w:rtl/>
        </w:rPr>
      </w:pPr>
      <w:r w:rsidRPr="007D190C">
        <w:rPr>
          <w:rFonts w:ascii="David" w:hAnsi="David"/>
          <w:rtl/>
        </w:rPr>
        <w:tab/>
        <w:t xml:space="preserve">זאת ועוד, הסנקציה העונשית הכוללת שעליה המליץ שירות המבחן איננה קלה ואיננה </w:t>
      </w:r>
      <w:r w:rsidRPr="007D190C">
        <w:rPr>
          <w:rFonts w:ascii="David" w:hAnsi="David"/>
          <w:rtl/>
        </w:rPr>
        <w:tab/>
        <w:t xml:space="preserve">מתעלמת ממכלול הנסיבות. לא מדובר בהמלצה שראוי לדחותה כבלתי הולמת או </w:t>
      </w:r>
      <w:r w:rsidRPr="007D190C">
        <w:rPr>
          <w:rFonts w:ascii="David" w:hAnsi="David"/>
          <w:rtl/>
        </w:rPr>
        <w:tab/>
        <w:t>כמתחשבת מידי. ניכ</w:t>
      </w:r>
      <w:r w:rsidRPr="007D190C">
        <w:rPr>
          <w:rFonts w:ascii="David" w:hAnsi="David"/>
          <w:rtl/>
        </w:rPr>
        <w:t xml:space="preserve">ר ששירות המבחן היה ער לחומרת העבירות ולסבלן של הקטינות ואף </w:t>
      </w:r>
      <w:r w:rsidRPr="007D190C">
        <w:rPr>
          <w:rFonts w:ascii="David" w:hAnsi="David"/>
          <w:rtl/>
        </w:rPr>
        <w:tab/>
        <w:t xml:space="preserve">ביטא הכרה בכך בדיון. שהייה של 3.9 שנים במעון נעול (שמצטרפת לתקופה נוספת </w:t>
      </w:r>
      <w:r w:rsidRPr="007D190C">
        <w:rPr>
          <w:rFonts w:ascii="David" w:hAnsi="David"/>
          <w:rtl/>
        </w:rPr>
        <w:tab/>
        <w:t xml:space="preserve">משמעותית שבה כבר שוהה הנאשם במעון) איננה עניין של מה בכך. הנאשם כבר נמצא </w:t>
      </w:r>
      <w:r w:rsidRPr="007D190C">
        <w:rPr>
          <w:rFonts w:ascii="David" w:hAnsi="David"/>
          <w:rtl/>
        </w:rPr>
        <w:tab/>
        <w:t xml:space="preserve">בעיצומו של הליך טיפולי </w:t>
      </w:r>
      <w:r w:rsidRPr="007D190C">
        <w:rPr>
          <w:rFonts w:ascii="David" w:hAnsi="David"/>
          <w:rtl/>
        </w:rPr>
        <w:tab/>
        <w:t>לאחר שיצר קשר חיובי עם גו</w:t>
      </w:r>
      <w:r w:rsidRPr="007D190C">
        <w:rPr>
          <w:rFonts w:ascii="David" w:hAnsi="David"/>
          <w:rtl/>
        </w:rPr>
        <w:t xml:space="preserve">רמי הטיפול. </w:t>
      </w:r>
      <w:r w:rsidRPr="007D190C">
        <w:rPr>
          <w:rFonts w:ascii="David" w:hAnsi="David"/>
          <w:rtl/>
        </w:rPr>
        <w:tab/>
        <w:t xml:space="preserve">שליחת הנאשם לכלא </w:t>
      </w:r>
      <w:r w:rsidRPr="007D190C">
        <w:rPr>
          <w:rFonts w:ascii="David" w:hAnsi="David"/>
          <w:rtl/>
        </w:rPr>
        <w:tab/>
        <w:t xml:space="preserve">עלולה לגדוע את התהליך, כאשר לא בטוח שבמסגרת מאסר (לא ארוך מספיק), יהיה </w:t>
      </w:r>
      <w:r w:rsidRPr="007D190C">
        <w:rPr>
          <w:rFonts w:ascii="David" w:hAnsi="David"/>
          <w:rtl/>
        </w:rPr>
        <w:tab/>
        <w:t xml:space="preserve">לתהליך כזה המשך טבעי ואפקטיבי. החזקת הנאשם במעון נעול מרחיקה אותו </w:t>
      </w:r>
      <w:r w:rsidRPr="007D190C">
        <w:rPr>
          <w:rFonts w:ascii="David" w:hAnsi="David"/>
          <w:rtl/>
        </w:rPr>
        <w:tab/>
        <w:t xml:space="preserve">מהחברה ומהקטינות, שביטאו חשש מהאפשרות להיתקל בו ,לתקופה משמעותית שהיא לא </w:t>
      </w:r>
      <w:r w:rsidRPr="007D190C">
        <w:rPr>
          <w:rFonts w:ascii="David" w:hAnsi="David"/>
          <w:rtl/>
        </w:rPr>
        <w:tab/>
        <w:t>פחות ארוכה מ</w:t>
      </w:r>
      <w:r w:rsidRPr="007D190C">
        <w:rPr>
          <w:rFonts w:ascii="David" w:hAnsi="David"/>
          <w:rtl/>
        </w:rPr>
        <w:t xml:space="preserve">תקופת מאסר שעשויה להיגזר עליו, ואולי אפילו ארוכה יותר.    </w:t>
      </w:r>
    </w:p>
    <w:p w:rsidR="007D190C" w:rsidRPr="007D190C" w:rsidRDefault="00DE4D55" w:rsidP="007D190C">
      <w:pPr>
        <w:spacing w:line="360" w:lineRule="auto"/>
        <w:jc w:val="both"/>
        <w:rPr>
          <w:rFonts w:ascii="David" w:hAnsi="David"/>
          <w:rtl/>
        </w:rPr>
      </w:pPr>
      <w:r w:rsidRPr="007D190C">
        <w:rPr>
          <w:rFonts w:ascii="David" w:hAnsi="David"/>
          <w:rtl/>
        </w:rPr>
        <w:tab/>
        <w:t xml:space="preserve">שירות המבחן המליץ גם על הרשעת הנאשם. הרשעה זו תלווה את הנאשם ותהא לה השפעה </w:t>
      </w:r>
      <w:r w:rsidRPr="007D190C">
        <w:rPr>
          <w:rFonts w:ascii="David" w:hAnsi="David"/>
          <w:rtl/>
        </w:rPr>
        <w:tab/>
        <w:t xml:space="preserve">רבה על עתידו ועל חייו. כך הדבר גם לגבי המאסר על תנאי שהומלץ וההתחייבות הכספית, </w:t>
      </w:r>
      <w:r w:rsidRPr="007D190C">
        <w:rPr>
          <w:rFonts w:ascii="David" w:hAnsi="David"/>
          <w:rtl/>
        </w:rPr>
        <w:tab/>
        <w:t>כענישה מרתיעה הצופה פני עתיד.</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jc w:val="both"/>
        <w:rPr>
          <w:rFonts w:ascii="David" w:hAnsi="David"/>
          <w:b/>
          <w:bCs/>
          <w:u w:val="single"/>
          <w:rtl/>
        </w:rPr>
      </w:pPr>
      <w:r w:rsidRPr="007D190C">
        <w:rPr>
          <w:rFonts w:ascii="David" w:hAnsi="David"/>
          <w:rtl/>
        </w:rPr>
        <w:tab/>
        <w:t xml:space="preserve"> </w:t>
      </w:r>
      <w:r w:rsidRPr="007D190C">
        <w:rPr>
          <w:rFonts w:ascii="David" w:hAnsi="David"/>
          <w:b/>
          <w:bCs/>
          <w:u w:val="single"/>
          <w:rtl/>
        </w:rPr>
        <w:t>הודאת ה</w:t>
      </w:r>
      <w:r w:rsidRPr="007D190C">
        <w:rPr>
          <w:rFonts w:ascii="David" w:hAnsi="David"/>
          <w:b/>
          <w:bCs/>
          <w:u w:val="single"/>
          <w:rtl/>
        </w:rPr>
        <w:t>נאשם וחרטתו</w:t>
      </w:r>
    </w:p>
    <w:p w:rsidR="007D190C" w:rsidRPr="007D190C" w:rsidRDefault="007D190C" w:rsidP="007D190C">
      <w:pPr>
        <w:spacing w:line="360" w:lineRule="auto"/>
        <w:jc w:val="both"/>
        <w:rPr>
          <w:rFonts w:ascii="David" w:hAnsi="David"/>
          <w:b/>
          <w:bCs/>
          <w:u w:val="single"/>
          <w:rtl/>
        </w:rPr>
      </w:pPr>
    </w:p>
    <w:p w:rsidR="007D190C" w:rsidRPr="007D190C" w:rsidRDefault="00DE4D55" w:rsidP="007D190C">
      <w:pPr>
        <w:spacing w:line="360" w:lineRule="auto"/>
        <w:jc w:val="both"/>
        <w:rPr>
          <w:rFonts w:ascii="David" w:hAnsi="David"/>
          <w:rtl/>
        </w:rPr>
      </w:pPr>
      <w:r w:rsidRPr="007D190C">
        <w:rPr>
          <w:rFonts w:ascii="David" w:hAnsi="David"/>
          <w:rtl/>
        </w:rPr>
        <w:t>8.10</w:t>
      </w:r>
      <w:r w:rsidRPr="007D190C">
        <w:rPr>
          <w:rFonts w:ascii="David" w:hAnsi="David"/>
          <w:rtl/>
        </w:rPr>
        <w:tab/>
        <w:t xml:space="preserve">כשיקול רלוונטי וחשוב לקולת העונש עומדת הודאת הנאשם והחרטה שביטא, זאת החל </w:t>
      </w:r>
      <w:r w:rsidRPr="007D190C">
        <w:rPr>
          <w:rFonts w:ascii="David" w:hAnsi="David"/>
          <w:rtl/>
        </w:rPr>
        <w:tab/>
        <w:t xml:space="preserve">מהשלבים הראשונים של ההליך. שלא כנטען על ידי חלק מנפגעות העבירה, אין בידנו כלים </w:t>
      </w:r>
      <w:r w:rsidRPr="007D190C">
        <w:rPr>
          <w:rFonts w:ascii="David" w:hAnsi="David"/>
          <w:rtl/>
        </w:rPr>
        <w:tab/>
        <w:t xml:space="preserve">או אינדיקציה לקבוע שלא מדובר בלקיחת אחריות אמיתית או בחרטה בלתי כנה. הנאשם </w:t>
      </w:r>
      <w:r w:rsidRPr="007D190C">
        <w:rPr>
          <w:rFonts w:ascii="David" w:hAnsi="David"/>
          <w:rtl/>
        </w:rPr>
        <w:tab/>
        <w:t>בהודייתו</w:t>
      </w:r>
      <w:r w:rsidRPr="007D190C">
        <w:rPr>
          <w:rFonts w:ascii="David" w:hAnsi="David"/>
          <w:rtl/>
        </w:rPr>
        <w:t xml:space="preserve"> חסך את עדות המתלוננות במשפט, על כל מה שכרוך בכך. בעשותו כן הוא נטל </w:t>
      </w:r>
      <w:r w:rsidRPr="007D190C">
        <w:rPr>
          <w:rFonts w:ascii="David" w:hAnsi="David"/>
          <w:rtl/>
        </w:rPr>
        <w:tab/>
        <w:t xml:space="preserve">אחריות מלאה על מעשיו קבל עם, והשתיק כל לזות שפתיים, ככל שנשמעה ותהא </w:t>
      </w:r>
      <w:r w:rsidRPr="007D190C">
        <w:rPr>
          <w:rFonts w:ascii="David" w:hAnsi="David"/>
          <w:rtl/>
        </w:rPr>
        <w:tab/>
        <w:t xml:space="preserve">מושמעת. יש גם להעניק ערך לאופן המתחשב שבו נוהל ההליך הפלילי כלפי הנפגעות, </w:t>
      </w:r>
      <w:r w:rsidRPr="007D190C">
        <w:rPr>
          <w:rFonts w:ascii="David" w:hAnsi="David"/>
          <w:rtl/>
        </w:rPr>
        <w:tab/>
        <w:t xml:space="preserve">תופעה שלצערנו </w:t>
      </w:r>
      <w:r w:rsidRPr="007D190C">
        <w:rPr>
          <w:rFonts w:ascii="David" w:hAnsi="David"/>
          <w:rtl/>
        </w:rPr>
        <w:tab/>
        <w:t>איננה רווחת ואיננה ברורה מאל</w:t>
      </w:r>
      <w:r w:rsidRPr="007D190C">
        <w:rPr>
          <w:rFonts w:ascii="David" w:hAnsi="David"/>
          <w:rtl/>
        </w:rPr>
        <w:t xml:space="preserve">יה. </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jc w:val="both"/>
        <w:rPr>
          <w:rFonts w:ascii="David" w:hAnsi="David"/>
          <w:rtl/>
        </w:rPr>
      </w:pPr>
      <w:r w:rsidRPr="007D190C">
        <w:rPr>
          <w:rFonts w:ascii="David" w:hAnsi="David"/>
          <w:rtl/>
        </w:rPr>
        <w:t>8.11</w:t>
      </w:r>
      <w:r w:rsidRPr="007D190C">
        <w:rPr>
          <w:rFonts w:ascii="David" w:hAnsi="David"/>
          <w:rtl/>
        </w:rPr>
        <w:tab/>
        <w:t xml:space="preserve">אחת המתלוננות העידה לפנינו כי הדברים שביצע  הנאשם, כלומר פגיעות בנערות על ידי בני </w:t>
      </w:r>
      <w:r w:rsidRPr="007D190C">
        <w:rPr>
          <w:rFonts w:ascii="David" w:hAnsi="David"/>
          <w:rtl/>
        </w:rPr>
        <w:tab/>
        <w:t>נוער, היא עניין נפוץ שפושה בחברה, תופעה שלדעתה מצדיקה עונש מאסר כדי להרתיע.</w:t>
      </w:r>
    </w:p>
    <w:p w:rsidR="007D190C" w:rsidRPr="007D190C" w:rsidRDefault="00DE4D55" w:rsidP="007D190C">
      <w:pPr>
        <w:spacing w:line="360" w:lineRule="auto"/>
        <w:jc w:val="both"/>
        <w:rPr>
          <w:rFonts w:ascii="David" w:hAnsi="David"/>
          <w:rtl/>
        </w:rPr>
      </w:pPr>
      <w:r w:rsidRPr="007D190C">
        <w:rPr>
          <w:rFonts w:ascii="David" w:hAnsi="David"/>
          <w:rtl/>
        </w:rPr>
        <w:tab/>
        <w:t xml:space="preserve">אכן, תופעה שכזו, ככל שהיא קיימת, ראוי להיאבק ולפעול כנגדה. היא מלמדת בראש </w:t>
      </w:r>
      <w:r w:rsidRPr="007D190C">
        <w:rPr>
          <w:rFonts w:ascii="David" w:hAnsi="David"/>
          <w:rtl/>
        </w:rPr>
        <w:tab/>
      </w:r>
      <w:r w:rsidRPr="007D190C">
        <w:rPr>
          <w:rFonts w:ascii="David" w:hAnsi="David"/>
          <w:rtl/>
        </w:rPr>
        <w:t xml:space="preserve">ובראשונה על בעיה במישור החינוכי/חברתי, שיש לתת עליה את הדעת במישורים אלה. </w:t>
      </w:r>
      <w:r w:rsidRPr="007D190C">
        <w:rPr>
          <w:rFonts w:ascii="David" w:hAnsi="David"/>
          <w:rtl/>
        </w:rPr>
        <w:tab/>
        <w:t xml:space="preserve">הענישה הפלילית היא בהגדרה אינדיבידואלית, שאחרי הכל אין הנאשם אמור "לשלם" לבדו </w:t>
      </w:r>
      <w:r w:rsidRPr="007D190C">
        <w:rPr>
          <w:rFonts w:ascii="David" w:hAnsi="David"/>
          <w:rtl/>
        </w:rPr>
        <w:tab/>
        <w:t xml:space="preserve">את מחיר התופעה בדרך של הטלת עונש שמתעלם משיקולים רלוונטיים הנוגעים לו </w:t>
      </w:r>
      <w:r w:rsidRPr="007D190C">
        <w:rPr>
          <w:rFonts w:ascii="David" w:hAnsi="David"/>
          <w:rtl/>
        </w:rPr>
        <w:lastRenderedPageBreak/>
        <w:tab/>
        <w:t>ולנסיבותיו. כך או כך,  העונש שה</w:t>
      </w:r>
      <w:r w:rsidRPr="007D190C">
        <w:rPr>
          <w:rFonts w:ascii="David" w:hAnsi="David"/>
          <w:rtl/>
        </w:rPr>
        <w:t xml:space="preserve">ומלץ לגבי הנאשם, שהוא עונש משמעותי של הגבלת חירות </w:t>
      </w:r>
      <w:r w:rsidRPr="007D190C">
        <w:rPr>
          <w:rFonts w:ascii="David" w:hAnsi="David"/>
          <w:rtl/>
        </w:rPr>
        <w:tab/>
        <w:t xml:space="preserve">למשך פרק זמן מושך, עונה גם על רכיב ההרתעה. כלא איננו הביטוי היחיד לענישה מרתיעה. </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jc w:val="both"/>
        <w:rPr>
          <w:rFonts w:ascii="David" w:hAnsi="David"/>
          <w:rtl/>
        </w:rPr>
      </w:pPr>
      <w:r w:rsidRPr="007D190C">
        <w:rPr>
          <w:rFonts w:ascii="David" w:hAnsi="David"/>
          <w:rtl/>
        </w:rPr>
        <w:t>8.12</w:t>
      </w:r>
      <w:r w:rsidRPr="007D190C">
        <w:rPr>
          <w:rFonts w:ascii="David" w:hAnsi="David"/>
          <w:rtl/>
        </w:rPr>
        <w:tab/>
      </w:r>
      <w:r w:rsidRPr="007D190C">
        <w:rPr>
          <w:rFonts w:ascii="David" w:hAnsi="David"/>
          <w:b/>
          <w:bCs/>
          <w:u w:val="single"/>
          <w:rtl/>
        </w:rPr>
        <w:t>סיכומו של דבר</w:t>
      </w:r>
      <w:r w:rsidRPr="007D190C">
        <w:rPr>
          <w:rFonts w:ascii="David" w:hAnsi="David"/>
          <w:rtl/>
        </w:rPr>
        <w:t xml:space="preserve">, על רקע כל האמור לעיל, אני סבורה שבמכלול השיקולים והאיזונים, כפי </w:t>
      </w:r>
      <w:r w:rsidRPr="007D190C">
        <w:rPr>
          <w:rFonts w:ascii="David" w:hAnsi="David"/>
          <w:rtl/>
        </w:rPr>
        <w:tab/>
        <w:t>שפורט לעיל, נכון במקרה זה לאמץ את המל</w:t>
      </w:r>
      <w:r w:rsidRPr="007D190C">
        <w:rPr>
          <w:rFonts w:ascii="David" w:hAnsi="David"/>
          <w:rtl/>
        </w:rPr>
        <w:t xml:space="preserve">צת שירות המבחן, אשר עשה את מלאכתו </w:t>
      </w:r>
      <w:r w:rsidRPr="007D190C">
        <w:rPr>
          <w:rFonts w:ascii="David" w:hAnsi="David"/>
          <w:rtl/>
        </w:rPr>
        <w:tab/>
        <w:t xml:space="preserve">ביסודיות ובמקצועיות. נזכיר שוב, שבענישת קטינים ההמלצה הגלומה בתסקיר מהווה </w:t>
      </w:r>
      <w:r w:rsidRPr="007D190C">
        <w:rPr>
          <w:rFonts w:ascii="David" w:hAnsi="David"/>
          <w:rtl/>
        </w:rPr>
        <w:tab/>
        <w:t xml:space="preserve">רכיב נכבד מאוד בשיקולי בית המשפט.  </w:t>
      </w:r>
    </w:p>
    <w:p w:rsidR="007D190C" w:rsidRPr="007D190C" w:rsidRDefault="00DE4D55" w:rsidP="007D190C">
      <w:pPr>
        <w:spacing w:line="360" w:lineRule="auto"/>
        <w:jc w:val="both"/>
        <w:rPr>
          <w:rFonts w:ascii="David" w:hAnsi="David"/>
          <w:rtl/>
        </w:rPr>
      </w:pPr>
      <w:r w:rsidRPr="007D190C">
        <w:rPr>
          <w:rFonts w:ascii="David" w:hAnsi="David"/>
          <w:rtl/>
        </w:rPr>
        <w:tab/>
        <w:t xml:space="preserve">בהיבט הרחב, החברה לא תרוויח דבר משליחתו של הנאשם לכלא בעיתוי הנוכחי. בין </w:t>
      </w:r>
      <w:r w:rsidRPr="007D190C">
        <w:rPr>
          <w:rFonts w:ascii="David" w:hAnsi="David"/>
          <w:rtl/>
        </w:rPr>
        <w:tab/>
        <w:t xml:space="preserve">החלופה של הטלת מאסר בפועל לא ארוך, </w:t>
      </w:r>
      <w:r w:rsidRPr="007D190C">
        <w:rPr>
          <w:rFonts w:ascii="David" w:hAnsi="David"/>
          <w:rtl/>
        </w:rPr>
        <w:t xml:space="preserve">כמתחייב מנסיבות המקרה ומהפסיקה - מאסר </w:t>
      </w:r>
      <w:r w:rsidRPr="007D190C">
        <w:rPr>
          <w:rFonts w:ascii="David" w:hAnsi="David"/>
          <w:rtl/>
        </w:rPr>
        <w:tab/>
        <w:t xml:space="preserve">שלאחריו עלול הנאשם לצאת מהכלא ללא מענה טיפולי מספק - לבין הגבלת חירותו של </w:t>
      </w:r>
      <w:r w:rsidRPr="007D190C">
        <w:rPr>
          <w:rFonts w:ascii="David" w:hAnsi="David"/>
          <w:rtl/>
        </w:rPr>
        <w:tab/>
        <w:t xml:space="preserve">הנאשם במעון נעול לפרק זמן משמעותי שמגיע כדי המקסימום האפשרי, מקום שבמסגרתו </w:t>
      </w:r>
      <w:r w:rsidRPr="007D190C">
        <w:rPr>
          <w:rFonts w:ascii="David" w:hAnsi="David"/>
          <w:rtl/>
        </w:rPr>
        <w:tab/>
        <w:t xml:space="preserve">גם יעבור הליך טיפולי ושיקומי - עדיפה בעיני האופציה השנייה. אופציה </w:t>
      </w:r>
      <w:r w:rsidRPr="007D190C">
        <w:rPr>
          <w:rFonts w:ascii="David" w:hAnsi="David"/>
          <w:rtl/>
        </w:rPr>
        <w:t xml:space="preserve">זו גם עולה בקנה </w:t>
      </w:r>
      <w:r w:rsidRPr="007D190C">
        <w:rPr>
          <w:rFonts w:ascii="David" w:hAnsi="David"/>
          <w:rtl/>
        </w:rPr>
        <w:tab/>
        <w:t xml:space="preserve">אחד עם הפסיקה הדנה בענישת קטינים, המבטאת העדפה של האפיק הטיפולי. </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jc w:val="both"/>
        <w:rPr>
          <w:rFonts w:ascii="David" w:hAnsi="David"/>
          <w:rtl/>
        </w:rPr>
      </w:pPr>
      <w:r w:rsidRPr="007D190C">
        <w:rPr>
          <w:rFonts w:ascii="David" w:hAnsi="David"/>
          <w:rtl/>
        </w:rPr>
        <w:tab/>
        <w:t xml:space="preserve">אין בהחלטה זו כדי להמעיט כהוא זה מחומרת מעשיו של הנאשם או מההכרה בסבלן </w:t>
      </w:r>
      <w:r w:rsidRPr="007D190C">
        <w:rPr>
          <w:rFonts w:ascii="David" w:hAnsi="David"/>
          <w:rtl/>
        </w:rPr>
        <w:tab/>
        <w:t xml:space="preserve">ובנזקיהן של הנפגעות. שיקולי גמול ו/או אמפתיה שבית המשפט חש כלפי הנפגעות אינם </w:t>
      </w:r>
      <w:r w:rsidRPr="007D190C">
        <w:rPr>
          <w:rFonts w:ascii="David" w:hAnsi="David"/>
          <w:rtl/>
        </w:rPr>
        <w:tab/>
        <w:t xml:space="preserve">יכולים להוות שיקולים </w:t>
      </w:r>
      <w:r w:rsidRPr="007D190C">
        <w:rPr>
          <w:rFonts w:ascii="David" w:hAnsi="David"/>
          <w:rtl/>
        </w:rPr>
        <w:t>שבילתם אין.</w:t>
      </w:r>
      <w:r w:rsidRPr="007D190C">
        <w:rPr>
          <w:rFonts w:ascii="David" w:hAnsi="David"/>
        </w:rPr>
        <w:t xml:space="preserve"> </w:t>
      </w:r>
      <w:r w:rsidRPr="007D190C">
        <w:rPr>
          <w:rFonts w:ascii="David" w:hAnsi="David"/>
          <w:rtl/>
        </w:rPr>
        <w:t xml:space="preserve">בניגוד לגישת שנשמעה מפי חלק מהנפגעות, עשיית </w:t>
      </w:r>
      <w:r w:rsidRPr="007D190C">
        <w:rPr>
          <w:rFonts w:ascii="David" w:hAnsi="David"/>
          <w:rtl/>
        </w:rPr>
        <w:tab/>
        <w:t>"צדק" עימן איננה מתמצה בעונש שיוטל על הנאשם, לא כל שכן בשליחתו</w:t>
      </w:r>
      <w:r w:rsidRPr="007D190C">
        <w:rPr>
          <w:rFonts w:ascii="David" w:hAnsi="David"/>
        </w:rPr>
        <w:t xml:space="preserve"> </w:t>
      </w:r>
      <w:r w:rsidRPr="007D190C">
        <w:rPr>
          <w:rFonts w:ascii="David" w:hAnsi="David"/>
          <w:rtl/>
        </w:rPr>
        <w:t xml:space="preserve">למאסר </w:t>
      </w:r>
      <w:r w:rsidRPr="007D190C">
        <w:rPr>
          <w:rFonts w:ascii="David" w:hAnsi="David"/>
          <w:rtl/>
        </w:rPr>
        <w:tab/>
        <w:t xml:space="preserve">מאחורי סורג ובריח דווקא. "הצדק" עם הנפגעות בא לידי ביטוי בראש ובראשונה בעצם </w:t>
      </w:r>
      <w:r w:rsidRPr="007D190C">
        <w:rPr>
          <w:rFonts w:ascii="David" w:hAnsi="David"/>
          <w:rtl/>
        </w:rPr>
        <w:tab/>
        <w:t xml:space="preserve">קבלת תלונתן האמיצה, בהעמדת הנאשם לדין, בהודאת הנאשם </w:t>
      </w:r>
      <w:r w:rsidRPr="007D190C">
        <w:rPr>
          <w:rFonts w:ascii="David" w:hAnsi="David"/>
          <w:rtl/>
        </w:rPr>
        <w:t xml:space="preserve">ובהרשעתו אשר קיבעה </w:t>
      </w:r>
      <w:r w:rsidRPr="007D190C">
        <w:rPr>
          <w:rFonts w:ascii="David" w:hAnsi="David"/>
          <w:rtl/>
        </w:rPr>
        <w:tab/>
        <w:t xml:space="preserve">את אחריותו ואת אשמתו, ומעבר לכך- גם בפן הענישתי, העונש שמוטל על הנאשם הוא </w:t>
      </w:r>
      <w:r w:rsidRPr="007D190C">
        <w:rPr>
          <w:rFonts w:ascii="David" w:hAnsi="David"/>
          <w:rtl/>
        </w:rPr>
        <w:tab/>
        <w:t>עונש מוחשי ומשמעותי שכרוכה בו הגבלת חירות לפרק זמן ארוך.</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jc w:val="both"/>
        <w:rPr>
          <w:rFonts w:ascii="David" w:hAnsi="David"/>
          <w:rtl/>
        </w:rPr>
      </w:pPr>
      <w:r w:rsidRPr="007D190C">
        <w:rPr>
          <w:rFonts w:ascii="David" w:hAnsi="David"/>
          <w:rtl/>
        </w:rPr>
        <w:tab/>
        <w:t xml:space="preserve">כאמור, על רקע </w:t>
      </w:r>
      <w:r w:rsidRPr="007D190C">
        <w:rPr>
          <w:rFonts w:ascii="David" w:hAnsi="David"/>
          <w:rtl/>
        </w:rPr>
        <w:tab/>
        <w:t xml:space="preserve">האמור בתסקיר </w:t>
      </w:r>
      <w:r w:rsidRPr="007D190C">
        <w:rPr>
          <w:rFonts w:ascii="David" w:hAnsi="David"/>
          <w:rtl/>
        </w:rPr>
        <w:tab/>
        <w:t xml:space="preserve">ובדברי גורמי הטיפול, שליחת הנאשם לכלא בעת הזאת </w:t>
      </w:r>
      <w:r w:rsidRPr="007D190C">
        <w:rPr>
          <w:rFonts w:ascii="David" w:hAnsi="David"/>
          <w:rtl/>
        </w:rPr>
        <w:tab/>
        <w:t xml:space="preserve">מבלי לאפשר מיצוי האופציה </w:t>
      </w:r>
      <w:r w:rsidRPr="007D190C">
        <w:rPr>
          <w:rFonts w:ascii="David" w:hAnsi="David"/>
          <w:rtl/>
        </w:rPr>
        <w:t xml:space="preserve">הטיפולית/שיקומית שבה הוא נתון כעת, לא תשיג לטעמי </w:t>
      </w:r>
      <w:r w:rsidRPr="007D190C">
        <w:rPr>
          <w:rFonts w:ascii="David" w:hAnsi="David"/>
          <w:rtl/>
        </w:rPr>
        <w:tab/>
        <w:t xml:space="preserve">תכלית חיובית. היא בוודאי לא תרפא את הנזק שכבר נגרם למתלוננות. היא אולי תמנע נזק </w:t>
      </w:r>
      <w:r w:rsidRPr="007D190C">
        <w:rPr>
          <w:rFonts w:ascii="David" w:hAnsi="David"/>
          <w:rtl/>
        </w:rPr>
        <w:tab/>
        <w:t>פוטנציאלי בעתיד.</w:t>
      </w:r>
    </w:p>
    <w:p w:rsidR="007D190C" w:rsidRPr="007D190C" w:rsidRDefault="00DE4D55" w:rsidP="007D190C">
      <w:pPr>
        <w:spacing w:line="360" w:lineRule="auto"/>
        <w:jc w:val="both"/>
        <w:rPr>
          <w:rFonts w:ascii="David" w:hAnsi="David"/>
          <w:rtl/>
        </w:rPr>
      </w:pPr>
      <w:r w:rsidRPr="007D190C">
        <w:rPr>
          <w:rFonts w:ascii="David" w:hAnsi="David"/>
          <w:rtl/>
        </w:rPr>
        <w:tab/>
        <w:t xml:space="preserve">למיותר לומר שככל שהנאשם לא יעמוד בדרישות המקום ובהנחיות הממונים עליו, הוא </w:t>
      </w:r>
      <w:r w:rsidRPr="007D190C">
        <w:rPr>
          <w:rFonts w:ascii="David" w:hAnsi="David"/>
          <w:rtl/>
        </w:rPr>
        <w:tab/>
        <w:t>צפוי לכך שעונשו יומר למאסר חלף מ</w:t>
      </w:r>
      <w:r w:rsidRPr="007D190C">
        <w:rPr>
          <w:rFonts w:ascii="David" w:hAnsi="David"/>
          <w:rtl/>
        </w:rPr>
        <w:t>עון נעול.</w:t>
      </w:r>
    </w:p>
    <w:p w:rsidR="007D190C" w:rsidRDefault="007D190C" w:rsidP="007D190C">
      <w:pPr>
        <w:spacing w:line="360" w:lineRule="auto"/>
        <w:jc w:val="both"/>
        <w:rPr>
          <w:rFonts w:ascii="David" w:hAnsi="David"/>
          <w:rtl/>
        </w:rPr>
      </w:pPr>
    </w:p>
    <w:p w:rsidR="00383ABB" w:rsidRDefault="00383ABB" w:rsidP="007D190C">
      <w:pPr>
        <w:spacing w:line="360" w:lineRule="auto"/>
        <w:jc w:val="both"/>
        <w:rPr>
          <w:rFonts w:ascii="David" w:hAnsi="David"/>
          <w:rtl/>
        </w:rPr>
      </w:pPr>
    </w:p>
    <w:p w:rsidR="00383ABB" w:rsidRDefault="00383ABB" w:rsidP="007D190C">
      <w:pPr>
        <w:spacing w:line="360" w:lineRule="auto"/>
        <w:jc w:val="both"/>
        <w:rPr>
          <w:rFonts w:ascii="David" w:hAnsi="David"/>
          <w:rtl/>
        </w:rPr>
      </w:pPr>
    </w:p>
    <w:p w:rsidR="00383ABB" w:rsidRDefault="00383ABB" w:rsidP="007D190C">
      <w:pPr>
        <w:spacing w:line="360" w:lineRule="auto"/>
        <w:jc w:val="both"/>
        <w:rPr>
          <w:rFonts w:ascii="David" w:hAnsi="David"/>
          <w:rtl/>
        </w:rPr>
      </w:pPr>
    </w:p>
    <w:p w:rsidR="00383ABB" w:rsidRPr="007D190C" w:rsidRDefault="00383ABB" w:rsidP="007D190C">
      <w:pPr>
        <w:spacing w:line="360" w:lineRule="auto"/>
        <w:jc w:val="both"/>
        <w:rPr>
          <w:rFonts w:ascii="David" w:hAnsi="David"/>
          <w:rtl/>
        </w:rPr>
      </w:pPr>
    </w:p>
    <w:p w:rsidR="007D190C" w:rsidRPr="007D190C" w:rsidRDefault="00DE4D55" w:rsidP="007D190C">
      <w:pPr>
        <w:spacing w:line="360" w:lineRule="auto"/>
        <w:jc w:val="both"/>
        <w:rPr>
          <w:rFonts w:ascii="David" w:hAnsi="David"/>
          <w:rtl/>
        </w:rPr>
      </w:pPr>
      <w:r w:rsidRPr="007D190C">
        <w:rPr>
          <w:rFonts w:ascii="David" w:hAnsi="David"/>
          <w:rtl/>
        </w:rPr>
        <w:lastRenderedPageBreak/>
        <w:tab/>
      </w:r>
      <w:r w:rsidRPr="007D190C">
        <w:rPr>
          <w:rFonts w:ascii="David" w:hAnsi="David"/>
          <w:u w:val="single"/>
          <w:rtl/>
        </w:rPr>
        <w:t>אשר על כן אני מציעה לחבריי להטיל על הנאשם את העונשים הבאים</w:t>
      </w:r>
      <w:r w:rsidRPr="007D190C">
        <w:rPr>
          <w:rFonts w:ascii="David" w:hAnsi="David"/>
          <w:rtl/>
        </w:rPr>
        <w:t>:</w:t>
      </w:r>
    </w:p>
    <w:p w:rsidR="007D190C" w:rsidRPr="007D190C" w:rsidRDefault="007D190C" w:rsidP="007D190C">
      <w:pPr>
        <w:spacing w:line="360" w:lineRule="auto"/>
        <w:jc w:val="both"/>
        <w:rPr>
          <w:rFonts w:ascii="David" w:hAnsi="David"/>
          <w:rtl/>
        </w:rPr>
      </w:pPr>
    </w:p>
    <w:p w:rsidR="007D190C" w:rsidRPr="007D190C" w:rsidRDefault="00DE4D55" w:rsidP="007D190C">
      <w:pPr>
        <w:numPr>
          <w:ilvl w:val="0"/>
          <w:numId w:val="3"/>
        </w:numPr>
        <w:spacing w:line="360" w:lineRule="auto"/>
        <w:contextualSpacing/>
        <w:jc w:val="both"/>
        <w:rPr>
          <w:rFonts w:ascii="David" w:hAnsi="David"/>
          <w:rtl/>
        </w:rPr>
      </w:pPr>
      <w:r w:rsidRPr="007D190C">
        <w:rPr>
          <w:rFonts w:ascii="David" w:hAnsi="David"/>
          <w:rtl/>
        </w:rPr>
        <w:t>הנאשם יוחזק במעון נעול בחסות הנוער, חלף מאסר, בהתאם לסעיף 25 לחוק הנוער למשך 3 שנים ותשעה חודשים.</w:t>
      </w:r>
    </w:p>
    <w:p w:rsidR="007D190C" w:rsidRPr="007D190C" w:rsidRDefault="00DE4D55" w:rsidP="007D190C">
      <w:pPr>
        <w:spacing w:line="360" w:lineRule="auto"/>
        <w:ind w:left="1170"/>
        <w:contextualSpacing/>
        <w:jc w:val="both"/>
        <w:rPr>
          <w:rFonts w:ascii="David" w:hAnsi="David"/>
          <w:rtl/>
        </w:rPr>
      </w:pPr>
      <w:r w:rsidRPr="007D190C">
        <w:rPr>
          <w:rFonts w:ascii="David" w:hAnsi="David"/>
          <w:rtl/>
        </w:rPr>
        <w:t>שירות המבחן ידווח כל 6 חודשים ו/או במידה שהנאשם לא יעמוד בכללי המקום.</w:t>
      </w:r>
    </w:p>
    <w:p w:rsidR="007D190C" w:rsidRPr="007D190C" w:rsidRDefault="007D190C" w:rsidP="007D190C">
      <w:pPr>
        <w:spacing w:line="360" w:lineRule="auto"/>
        <w:ind w:left="1170"/>
        <w:contextualSpacing/>
        <w:jc w:val="both"/>
        <w:rPr>
          <w:rFonts w:ascii="David" w:hAnsi="David"/>
          <w:rtl/>
        </w:rPr>
      </w:pPr>
    </w:p>
    <w:p w:rsidR="007D190C" w:rsidRPr="007D190C" w:rsidRDefault="00DE4D55" w:rsidP="007D190C">
      <w:pPr>
        <w:numPr>
          <w:ilvl w:val="0"/>
          <w:numId w:val="3"/>
        </w:numPr>
        <w:spacing w:line="360" w:lineRule="auto"/>
        <w:contextualSpacing/>
        <w:jc w:val="both"/>
        <w:rPr>
          <w:rFonts w:ascii="David" w:hAnsi="David"/>
          <w:rtl/>
        </w:rPr>
      </w:pPr>
      <w:r w:rsidRPr="007D190C">
        <w:rPr>
          <w:rFonts w:ascii="David" w:hAnsi="David"/>
          <w:rtl/>
        </w:rPr>
        <w:t xml:space="preserve">מאסר על </w:t>
      </w:r>
      <w:r w:rsidRPr="007D190C">
        <w:rPr>
          <w:rFonts w:ascii="David" w:hAnsi="David"/>
          <w:rtl/>
        </w:rPr>
        <w:t>תנאי של 12 חודשים שהנאשם לא יעבור עבירות לפי סעיפים 345, 346, 347 ו-348 לחוק העונשין תוך 3 שנים מיום שחרורו מהמעון הנעול.</w:t>
      </w:r>
    </w:p>
    <w:p w:rsidR="007D190C" w:rsidRPr="007D190C" w:rsidRDefault="007D190C" w:rsidP="007D190C">
      <w:pPr>
        <w:spacing w:line="360" w:lineRule="auto"/>
        <w:ind w:left="1170"/>
        <w:contextualSpacing/>
        <w:jc w:val="both"/>
        <w:rPr>
          <w:rFonts w:ascii="David" w:hAnsi="David"/>
        </w:rPr>
      </w:pPr>
    </w:p>
    <w:p w:rsidR="007D190C" w:rsidRPr="007D190C" w:rsidRDefault="00DE4D55" w:rsidP="007D190C">
      <w:pPr>
        <w:numPr>
          <w:ilvl w:val="0"/>
          <w:numId w:val="3"/>
        </w:numPr>
        <w:spacing w:line="360" w:lineRule="auto"/>
        <w:contextualSpacing/>
        <w:jc w:val="both"/>
        <w:rPr>
          <w:rFonts w:ascii="David" w:hAnsi="David"/>
        </w:rPr>
      </w:pPr>
      <w:r w:rsidRPr="007D190C">
        <w:rPr>
          <w:rFonts w:ascii="David" w:hAnsi="David"/>
          <w:rtl/>
        </w:rPr>
        <w:t>הנאשם ישלם לנפגעות העבירה פיצוי מוסכם בסך של 120,000 ₪ אשר יחולק ביניהן באופן שווה. הסכום יועבר לנפגעות העבירה מתוך הכספים שהפקיד הנא</w:t>
      </w:r>
      <w:r w:rsidRPr="007D190C">
        <w:rPr>
          <w:rFonts w:ascii="David" w:hAnsi="David"/>
          <w:rtl/>
        </w:rPr>
        <w:t>שם בקופת בית המשפט, וזאת בהתאם לפרטים שתמציא המאשימה למזכירות בית המשפט.</w:t>
      </w:r>
    </w:p>
    <w:p w:rsidR="007D190C" w:rsidRPr="007D190C" w:rsidRDefault="007D190C" w:rsidP="007D190C">
      <w:pPr>
        <w:spacing w:line="360" w:lineRule="auto"/>
        <w:ind w:left="1170"/>
        <w:contextualSpacing/>
        <w:jc w:val="both"/>
        <w:rPr>
          <w:rFonts w:ascii="David" w:hAnsi="David"/>
        </w:rPr>
      </w:pPr>
    </w:p>
    <w:p w:rsidR="007D190C" w:rsidRPr="007D190C" w:rsidRDefault="00DE4D55" w:rsidP="007D190C">
      <w:pPr>
        <w:numPr>
          <w:ilvl w:val="0"/>
          <w:numId w:val="3"/>
        </w:numPr>
        <w:spacing w:line="360" w:lineRule="auto"/>
        <w:contextualSpacing/>
        <w:jc w:val="both"/>
        <w:rPr>
          <w:rFonts w:ascii="David" w:hAnsi="David"/>
          <w:rtl/>
        </w:rPr>
      </w:pPr>
      <w:r w:rsidRPr="007D190C">
        <w:rPr>
          <w:rFonts w:ascii="David" w:hAnsi="David"/>
          <w:rtl/>
        </w:rPr>
        <w:t xml:space="preserve">הנאשם יחתום על התחייבות בסך של 20,000 ₪ שלא יעבור את העבירות לפי סעיפים 345, 346, 347, ו-348 לחוק העונשין תוך שנתיים מיום שחרורו מהמעון הנעול. אי חתימה על התחייבות תגרור מאסר של 30 </w:t>
      </w:r>
      <w:r w:rsidRPr="007D190C">
        <w:rPr>
          <w:rFonts w:ascii="David" w:hAnsi="David"/>
          <w:rtl/>
        </w:rPr>
        <w:t>יום.</w:t>
      </w:r>
    </w:p>
    <w:p w:rsidR="007D190C" w:rsidRPr="007D190C" w:rsidRDefault="007D190C" w:rsidP="007D190C">
      <w:pPr>
        <w:ind w:left="720"/>
        <w:contextualSpacing/>
        <w:rPr>
          <w:rFonts w:ascii="David" w:hAnsi="David"/>
        </w:rPr>
      </w:pPr>
    </w:p>
    <w:p w:rsidR="007D190C" w:rsidRPr="007D190C" w:rsidRDefault="007D190C" w:rsidP="007D190C">
      <w:pPr>
        <w:spacing w:line="360" w:lineRule="auto"/>
        <w:jc w:val="both"/>
        <w:rPr>
          <w:rFonts w:ascii="David" w:hAnsi="David"/>
          <w:rtl/>
        </w:rPr>
      </w:pPr>
    </w:p>
    <w:p w:rsidR="007D190C" w:rsidRPr="007D190C" w:rsidRDefault="007D190C" w:rsidP="007D190C">
      <w:pPr>
        <w:spacing w:line="360" w:lineRule="auto"/>
        <w:ind w:left="1170"/>
        <w:contextualSpacing/>
        <w:jc w:val="both"/>
        <w:rPr>
          <w:rFonts w:ascii="David" w:hAnsi="David"/>
        </w:rPr>
      </w:pPr>
    </w:p>
    <w:p w:rsidR="007D190C" w:rsidRPr="007D190C" w:rsidRDefault="00DE4D55" w:rsidP="007D190C">
      <w:pPr>
        <w:spacing w:line="360" w:lineRule="auto"/>
        <w:ind w:left="793"/>
        <w:contextualSpacing/>
        <w:jc w:val="both"/>
        <w:rPr>
          <w:rFonts w:ascii="David" w:hAnsi="David"/>
        </w:rPr>
      </w:pPr>
      <w:r w:rsidRPr="007D190C">
        <w:rPr>
          <w:rFonts w:ascii="David" w:hAnsi="David"/>
          <w:b/>
          <w:bCs/>
          <w:rtl/>
        </w:rPr>
        <w:t xml:space="preserve">אסיים דבריי בפנייה לנפגעות: אני תקווה שתוכלנה להניח מאחוריכן את הכאב, חרף החוויה הקשה שעברה עליכן, ולפתוח דף חדש. לא יהא זה נכון מבחינתכן להתייחס אל הפגיעות הקשות שעמן התמודדתן ככאלה שיכתיבו את המשך חייכן, זאת כפי שיכולתי לשמוע בדברי חלק מכן.  אתן </w:t>
      </w:r>
      <w:r w:rsidRPr="007D190C">
        <w:rPr>
          <w:rFonts w:ascii="David" w:hAnsi="David"/>
          <w:b/>
          <w:bCs/>
          <w:rtl/>
        </w:rPr>
        <w:t>נערות צעירות וברוכות כישרון שכל עתידכן לפניכן. שיקומכן העצמי הוא האתגר כעת, והוא איננו פונקציה של העונש שירצה הנאשם.</w:t>
      </w:r>
    </w:p>
    <w:p w:rsidR="007D190C" w:rsidRPr="007D190C" w:rsidRDefault="007D190C" w:rsidP="007D190C">
      <w:pPr>
        <w:spacing w:line="360" w:lineRule="auto"/>
        <w:ind w:left="793"/>
        <w:contextualSpacing/>
        <w:jc w:val="both"/>
        <w:rPr>
          <w:rFonts w:ascii="David" w:hAnsi="David"/>
          <w:rtl/>
        </w:rPr>
      </w:pPr>
    </w:p>
    <w:tbl>
      <w:tblPr>
        <w:tblStyle w:val="10"/>
        <w:tblpPr w:leftFromText="180" w:rightFromText="180" w:vertAnchor="text" w:horzAnchor="page" w:tblpX="1074" w:tblpY="-27"/>
        <w:bidiVisual/>
        <w:tblW w:w="27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06"/>
      </w:tblGrid>
      <w:tr w:rsidR="004B4EFA" w:rsidTr="007D190C">
        <w:tc>
          <w:tcPr>
            <w:tcW w:w="2706" w:type="dxa"/>
            <w:tcBorders>
              <w:top w:val="nil"/>
              <w:left w:val="nil"/>
              <w:bottom w:val="single" w:sz="4" w:space="0" w:color="auto"/>
              <w:right w:val="nil"/>
            </w:tcBorders>
            <w:vAlign w:val="center"/>
            <w:hideMark/>
          </w:tcPr>
          <w:p w:rsidR="007D190C" w:rsidRPr="007D190C" w:rsidRDefault="00DE4D55" w:rsidP="007D190C">
            <w:pPr>
              <w:jc w:val="center"/>
              <w:rPr>
                <w:rFonts w:ascii="Courier New" w:hAnsi="Courier New"/>
                <w:b/>
                <w:bCs/>
                <w:sz w:val="20"/>
                <w:szCs w:val="20"/>
                <w:rtl/>
              </w:rPr>
            </w:pPr>
            <w:r w:rsidRPr="007D190C">
              <w:rPr>
                <w:rFonts w:ascii="Courier New" w:hAnsi="Courier New"/>
                <w:b/>
                <w:bCs/>
                <w:noProof/>
                <w:sz w:val="20"/>
                <w:szCs w:val="20"/>
              </w:rPr>
              <w:drawing>
                <wp:inline distT="0" distB="0" distL="0" distR="0">
                  <wp:extent cx="1573530" cy="801370"/>
                  <wp:effectExtent l="0" t="0" r="7620" b="0"/>
                  <wp:docPr id="9" name="תמונה 4" descr="05235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תמונה 4" descr="052352960"/>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flipH="1">
                            <a:off x="0" y="0"/>
                            <a:ext cx="1573530" cy="801370"/>
                          </a:xfrm>
                          <a:prstGeom prst="rect">
                            <a:avLst/>
                          </a:prstGeom>
                          <a:noFill/>
                          <a:ln>
                            <a:noFill/>
                          </a:ln>
                        </pic:spPr>
                      </pic:pic>
                    </a:graphicData>
                  </a:graphic>
                </wp:inline>
              </w:drawing>
            </w:r>
          </w:p>
        </w:tc>
      </w:tr>
      <w:tr w:rsidR="004B4EFA" w:rsidTr="007D190C">
        <w:tc>
          <w:tcPr>
            <w:tcW w:w="2706" w:type="dxa"/>
            <w:tcBorders>
              <w:top w:val="single" w:sz="4" w:space="0" w:color="auto"/>
              <w:left w:val="nil"/>
              <w:bottom w:val="nil"/>
              <w:right w:val="nil"/>
            </w:tcBorders>
          </w:tcPr>
          <w:p w:rsidR="007D190C" w:rsidRPr="007D190C" w:rsidRDefault="00DE4D55" w:rsidP="007D190C">
            <w:pPr>
              <w:jc w:val="center"/>
              <w:rPr>
                <w:rFonts w:ascii="Courier New" w:hAnsi="Courier New"/>
                <w:b/>
                <w:bCs/>
                <w:rtl/>
              </w:rPr>
            </w:pPr>
            <w:r w:rsidRPr="007D190C">
              <w:rPr>
                <w:rFonts w:ascii="Courier New" w:hAnsi="Courier New"/>
                <w:b/>
                <w:bCs/>
                <w:rtl/>
              </w:rPr>
              <w:t>גיליה רביד, שופטת בכירה, אב"ד</w:t>
            </w:r>
          </w:p>
          <w:p w:rsidR="007D190C" w:rsidRPr="007D190C" w:rsidRDefault="007D190C" w:rsidP="007D190C">
            <w:pPr>
              <w:jc w:val="center"/>
              <w:rPr>
                <w:rFonts w:ascii="Courier New" w:hAnsi="Courier New"/>
                <w:b/>
                <w:bCs/>
                <w:rtl/>
              </w:rPr>
            </w:pPr>
          </w:p>
        </w:tc>
      </w:tr>
    </w:tbl>
    <w:p w:rsidR="007D190C" w:rsidRPr="007D190C" w:rsidRDefault="007D190C" w:rsidP="007D190C">
      <w:pPr>
        <w:spacing w:line="360" w:lineRule="auto"/>
        <w:ind w:left="708" w:hanging="567"/>
        <w:contextualSpacing/>
        <w:jc w:val="both"/>
        <w:rPr>
          <w:rFonts w:ascii="David" w:hAnsi="David"/>
        </w:rPr>
      </w:pPr>
    </w:p>
    <w:p w:rsidR="007D190C" w:rsidRPr="007D190C" w:rsidRDefault="00DE4D55" w:rsidP="007D190C">
      <w:pPr>
        <w:rPr>
          <w:rtl/>
        </w:rPr>
      </w:pPr>
      <w:r w:rsidRPr="007D190C">
        <w:rPr>
          <w:rFonts w:ascii="David" w:hAnsi="David"/>
          <w:rtl/>
        </w:rPr>
        <w:tab/>
      </w:r>
      <w:r w:rsidRPr="007D190C">
        <w:rPr>
          <w:rFonts w:ascii="David" w:hAnsi="David"/>
          <w:rtl/>
        </w:rPr>
        <w:tab/>
      </w:r>
      <w:r w:rsidRPr="007D190C">
        <w:rPr>
          <w:rFonts w:ascii="David" w:hAnsi="David"/>
          <w:rtl/>
        </w:rPr>
        <w:tab/>
      </w:r>
      <w:r w:rsidRPr="007D190C">
        <w:rPr>
          <w:rFonts w:ascii="David" w:hAnsi="David"/>
          <w:rtl/>
        </w:rPr>
        <w:tab/>
      </w:r>
      <w:r w:rsidRPr="007D190C">
        <w:rPr>
          <w:rFonts w:ascii="David" w:hAnsi="David"/>
          <w:rtl/>
        </w:rPr>
        <w:tab/>
      </w:r>
      <w:r w:rsidRPr="007D190C">
        <w:rPr>
          <w:rFonts w:ascii="David" w:hAnsi="David"/>
          <w:rtl/>
        </w:rPr>
        <w:tab/>
      </w:r>
    </w:p>
    <w:p w:rsidR="007D190C" w:rsidRPr="007D190C" w:rsidRDefault="007D190C" w:rsidP="007D190C">
      <w:pPr>
        <w:spacing w:line="360" w:lineRule="auto"/>
        <w:jc w:val="both"/>
        <w:rPr>
          <w:rFonts w:ascii="David" w:hAnsi="David"/>
          <w:u w:val="single"/>
          <w:rtl/>
        </w:rPr>
      </w:pPr>
    </w:p>
    <w:p w:rsidR="007D190C" w:rsidRPr="007D190C" w:rsidRDefault="007D190C" w:rsidP="007D190C">
      <w:pPr>
        <w:spacing w:after="160" w:line="360" w:lineRule="auto"/>
        <w:jc w:val="both"/>
        <w:rPr>
          <w:rFonts w:ascii="David" w:eastAsia="Calibri" w:hAnsi="David"/>
          <w:kern w:val="2"/>
          <w:u w:val="single"/>
          <w14:ligatures w14:val="standardContextual"/>
        </w:rPr>
      </w:pPr>
    </w:p>
    <w:p w:rsidR="007D190C" w:rsidRDefault="007D190C" w:rsidP="007D190C">
      <w:pPr>
        <w:spacing w:after="160" w:line="360" w:lineRule="auto"/>
        <w:jc w:val="both"/>
        <w:rPr>
          <w:rFonts w:ascii="David" w:eastAsia="Calibri" w:hAnsi="David"/>
          <w:kern w:val="2"/>
          <w:u w:val="single"/>
          <w:rtl/>
          <w14:ligatures w14:val="standardContextual"/>
        </w:rPr>
      </w:pPr>
    </w:p>
    <w:p w:rsidR="00383ABB" w:rsidRDefault="00383ABB" w:rsidP="007D190C">
      <w:pPr>
        <w:spacing w:after="160" w:line="360" w:lineRule="auto"/>
        <w:jc w:val="both"/>
        <w:rPr>
          <w:rFonts w:ascii="David" w:eastAsia="Calibri" w:hAnsi="David"/>
          <w:kern w:val="2"/>
          <w:u w:val="single"/>
          <w:rtl/>
          <w14:ligatures w14:val="standardContextual"/>
        </w:rPr>
      </w:pPr>
    </w:p>
    <w:p w:rsidR="00383ABB" w:rsidRPr="007D190C" w:rsidRDefault="00383ABB" w:rsidP="007D190C">
      <w:pPr>
        <w:spacing w:after="160" w:line="360" w:lineRule="auto"/>
        <w:jc w:val="both"/>
        <w:rPr>
          <w:rFonts w:ascii="David" w:eastAsia="Calibri" w:hAnsi="David"/>
          <w:kern w:val="2"/>
          <w:u w:val="single"/>
          <w:rtl/>
          <w14:ligatures w14:val="standardContextual"/>
        </w:rPr>
      </w:pPr>
    </w:p>
    <w:p w:rsidR="007D190C" w:rsidRPr="007D190C" w:rsidRDefault="007D190C" w:rsidP="007D190C">
      <w:pPr>
        <w:spacing w:after="160" w:line="360" w:lineRule="auto"/>
        <w:jc w:val="both"/>
        <w:rPr>
          <w:rFonts w:ascii="David" w:eastAsia="Calibri" w:hAnsi="David"/>
          <w:kern w:val="2"/>
          <w:u w:val="single"/>
          <w:rtl/>
          <w14:ligatures w14:val="standardContextual"/>
        </w:rPr>
      </w:pPr>
    </w:p>
    <w:p w:rsidR="007D190C" w:rsidRPr="007D190C" w:rsidRDefault="00DE4D55" w:rsidP="007D190C">
      <w:pPr>
        <w:spacing w:after="160" w:line="360" w:lineRule="auto"/>
        <w:jc w:val="both"/>
        <w:rPr>
          <w:rFonts w:ascii="David" w:eastAsia="Calibri" w:hAnsi="David"/>
          <w:kern w:val="2"/>
          <w:u w:val="single"/>
          <w:rtl/>
          <w14:ligatures w14:val="standardContextual"/>
        </w:rPr>
      </w:pPr>
      <w:r w:rsidRPr="007D190C">
        <w:rPr>
          <w:rFonts w:ascii="David" w:eastAsia="Calibri" w:hAnsi="David"/>
          <w:kern w:val="2"/>
          <w:u w:val="single"/>
          <w:rtl/>
          <w14:ligatures w14:val="standardContextual"/>
        </w:rPr>
        <w:lastRenderedPageBreak/>
        <w:t>השופט עודד מאור:</w:t>
      </w:r>
    </w:p>
    <w:p w:rsidR="007D190C" w:rsidRPr="007D190C" w:rsidRDefault="00DE4D55" w:rsidP="007D190C">
      <w:pPr>
        <w:spacing w:after="160" w:line="360" w:lineRule="auto"/>
        <w:ind w:left="720" w:hanging="720"/>
        <w:jc w:val="both"/>
        <w:rPr>
          <w:rFonts w:ascii="David" w:eastAsia="Calibri" w:hAnsi="David"/>
          <w:kern w:val="2"/>
          <w:u w:val="single"/>
          <w:rtl/>
          <w14:ligatures w14:val="standardContextual"/>
        </w:rPr>
      </w:pPr>
      <w:r w:rsidRPr="007D190C">
        <w:rPr>
          <w:rFonts w:ascii="David" w:eastAsia="Calibri" w:hAnsi="David"/>
          <w:kern w:val="2"/>
          <w:rtl/>
          <w14:ligatures w14:val="standardContextual"/>
        </w:rPr>
        <w:t>1.</w:t>
      </w:r>
      <w:r w:rsidRPr="007D190C">
        <w:rPr>
          <w:rFonts w:ascii="David" w:hAnsi="David"/>
          <w:rtl/>
        </w:rPr>
        <w:tab/>
        <w:t xml:space="preserve">קראתי את חוות דעתה של השופטת ג' רביד; גם אני סבור שמכלול הנסיבות </w:t>
      </w:r>
      <w:r w:rsidRPr="007D190C">
        <w:rPr>
          <w:rFonts w:ascii="David" w:hAnsi="David"/>
          <w:rtl/>
        </w:rPr>
        <w:t>מוביל לאימוץ המלצת שירות המבחן ולהורות כי הנאשם יוחזק במעון נעול, חלף מאסר, וזאת עד הגיעו לגיל 21.</w:t>
      </w:r>
    </w:p>
    <w:p w:rsidR="007D190C" w:rsidRPr="007D190C" w:rsidRDefault="00DE4D55" w:rsidP="007D190C">
      <w:pPr>
        <w:spacing w:line="360" w:lineRule="auto"/>
        <w:ind w:left="720"/>
        <w:contextualSpacing/>
        <w:jc w:val="both"/>
        <w:rPr>
          <w:rFonts w:ascii="David" w:hAnsi="David"/>
          <w:rtl/>
        </w:rPr>
      </w:pPr>
      <w:r w:rsidRPr="007D190C">
        <w:rPr>
          <w:rFonts w:ascii="David" w:hAnsi="David"/>
          <w:rtl/>
        </w:rPr>
        <w:t>משנמצא הנאשם במעון נעול מזה מספר חודשים, הרי יוחזק בו עוד 3.9 שנים, ובכך ישלים 4.5 שנים במעון הנעול עד הגיעו לגיל 21, כך שיוחזק בו לפרק הזמן המרבי הקבוע בדין</w:t>
      </w:r>
      <w:r w:rsidRPr="007D190C">
        <w:rPr>
          <w:rFonts w:ascii="David" w:hAnsi="David"/>
          <w:rtl/>
        </w:rPr>
        <w:t>. עמדתי תפורט להלן.</w:t>
      </w:r>
    </w:p>
    <w:p w:rsidR="007D190C" w:rsidRPr="007D190C" w:rsidRDefault="007D190C" w:rsidP="007D190C">
      <w:pPr>
        <w:spacing w:line="360" w:lineRule="auto"/>
        <w:jc w:val="both"/>
        <w:rPr>
          <w:rFonts w:ascii="David" w:hAnsi="David"/>
        </w:rPr>
      </w:pPr>
    </w:p>
    <w:p w:rsidR="007D190C" w:rsidRPr="007D190C" w:rsidRDefault="00DE4D55" w:rsidP="007D190C">
      <w:pPr>
        <w:spacing w:line="360" w:lineRule="auto"/>
        <w:ind w:left="360" w:firstLine="360"/>
        <w:jc w:val="both"/>
        <w:rPr>
          <w:rFonts w:ascii="David" w:hAnsi="David"/>
          <w:b/>
          <w:bCs/>
          <w:u w:val="single"/>
          <w:rtl/>
        </w:rPr>
      </w:pPr>
      <w:r w:rsidRPr="007D190C">
        <w:rPr>
          <w:rFonts w:ascii="David" w:hAnsi="David"/>
          <w:b/>
          <w:bCs/>
          <w:u w:val="single"/>
          <w:rtl/>
        </w:rPr>
        <w:t>כאבן וסבלן של הנפגעות</w:t>
      </w:r>
    </w:p>
    <w:p w:rsidR="007D190C" w:rsidRPr="007D190C" w:rsidRDefault="007D190C" w:rsidP="007D190C">
      <w:pPr>
        <w:spacing w:line="360" w:lineRule="auto"/>
        <w:jc w:val="both"/>
        <w:rPr>
          <w:rFonts w:ascii="David" w:hAnsi="David"/>
          <w:b/>
          <w:bCs/>
          <w:u w:val="single"/>
          <w:rtl/>
        </w:rPr>
      </w:pPr>
    </w:p>
    <w:p w:rsidR="007D190C" w:rsidRPr="007D190C" w:rsidRDefault="00DE4D55" w:rsidP="007D190C">
      <w:pPr>
        <w:spacing w:line="360" w:lineRule="auto"/>
        <w:ind w:left="720" w:hanging="720"/>
        <w:jc w:val="both"/>
        <w:rPr>
          <w:rFonts w:ascii="David" w:hAnsi="David"/>
          <w:b/>
          <w:bCs/>
          <w:u w:val="single"/>
          <w:rtl/>
        </w:rPr>
      </w:pPr>
      <w:r w:rsidRPr="007D190C">
        <w:rPr>
          <w:rFonts w:ascii="David" w:hAnsi="David"/>
          <w:rtl/>
        </w:rPr>
        <w:t>2.</w:t>
      </w:r>
      <w:r w:rsidRPr="007D190C">
        <w:rPr>
          <w:rFonts w:ascii="David" w:hAnsi="David"/>
          <w:rtl/>
        </w:rPr>
        <w:tab/>
        <w:t xml:space="preserve">הנאשם במעשיו פגע בשש קטינות. הנאשם זעזע את עולמה של כל אחת מהן, וגרם להן, למשפחותיהן ולסובבים אותן סבל וכאב רבים מנשוא. לבי יוצא אל הנפגעות. </w:t>
      </w:r>
    </w:p>
    <w:p w:rsidR="007D190C" w:rsidRPr="007D190C" w:rsidRDefault="00DE4D55" w:rsidP="007D190C">
      <w:pPr>
        <w:spacing w:line="360" w:lineRule="auto"/>
        <w:ind w:firstLine="720"/>
        <w:jc w:val="both"/>
        <w:rPr>
          <w:rFonts w:ascii="David" w:hAnsi="David"/>
          <w:rtl/>
        </w:rPr>
      </w:pPr>
      <w:r w:rsidRPr="007D190C">
        <w:rPr>
          <w:rFonts w:ascii="David" w:hAnsi="David"/>
          <w:rtl/>
        </w:rPr>
        <w:t>תסקירי נפגעות העבירה מדברים בעד עצמם. הם מלמדים על השבר גדול בחייהן</w:t>
      </w:r>
      <w:r w:rsidRPr="007D190C">
        <w:rPr>
          <w:rFonts w:ascii="David" w:hAnsi="David"/>
          <w:rtl/>
        </w:rPr>
        <w:t xml:space="preserve"> של הנפגעות.</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ind w:left="720" w:hanging="720"/>
        <w:jc w:val="both"/>
        <w:rPr>
          <w:rFonts w:ascii="David" w:hAnsi="David"/>
          <w:b/>
          <w:bCs/>
          <w:u w:val="single"/>
          <w:rtl/>
        </w:rPr>
      </w:pPr>
      <w:r w:rsidRPr="007D190C">
        <w:rPr>
          <w:rFonts w:ascii="David" w:hAnsi="David"/>
          <w:rtl/>
        </w:rPr>
        <w:t>3.</w:t>
      </w:r>
      <w:r w:rsidRPr="007D190C">
        <w:rPr>
          <w:rFonts w:ascii="David" w:hAnsi="David"/>
          <w:rtl/>
        </w:rPr>
        <w:tab/>
        <w:t>מהכאב ומהסבל של הנפגעות אי אפשר להתעלם, אולם קא עסקינן בגזירת דינו של הנאשם, וענישתו שלו בלבד, כאשר הענישה היא מלאכה אינדיבידואלית, הנתפרת למידותיו של הנאשם על פי נתוניו ונסיבותיו. היא כוללת שיקולים רחבים וכלליים יותר, ובלשונו של השופט חשי</w:t>
      </w:r>
      <w:r w:rsidRPr="007D190C">
        <w:rPr>
          <w:rFonts w:ascii="David" w:hAnsi="David"/>
          <w:rtl/>
        </w:rPr>
        <w:t xml:space="preserve">ן ברע"פ 2976/01 </w:t>
      </w:r>
      <w:r w:rsidRPr="007D190C">
        <w:rPr>
          <w:rFonts w:ascii="David" w:hAnsi="David"/>
          <w:b/>
          <w:bCs/>
          <w:rtl/>
        </w:rPr>
        <w:t>בתיה אסף נ' מדינת ישראל</w:t>
      </w:r>
      <w:r w:rsidRPr="007D190C">
        <w:rPr>
          <w:rFonts w:ascii="David" w:hAnsi="David"/>
          <w:rtl/>
        </w:rPr>
        <w:t>, פ"ד נו(3) 418 (2002): "</w:t>
      </w:r>
      <w:r w:rsidRPr="007D190C">
        <w:rPr>
          <w:rFonts w:ascii="David" w:hAnsi="David"/>
          <w:b/>
          <w:bCs/>
          <w:rtl/>
        </w:rPr>
        <w:t>ב</w:t>
      </w:r>
      <w:r w:rsidRPr="007D190C">
        <w:rPr>
          <w:rFonts w:ascii="David" w:hAnsi="David"/>
          <w:b/>
          <w:bCs/>
          <w:color w:val="000000"/>
          <w:rtl/>
        </w:rPr>
        <w:t>דין העונשין, העבריין הוא העומד במרכז הזירה, הזרקורים מופנים אליו</w:t>
      </w:r>
      <w:r w:rsidRPr="007D190C">
        <w:rPr>
          <w:rFonts w:ascii="FrankRuehl" w:hAnsi="FrankRuehl" w:cs="FrankRuehl"/>
          <w:color w:val="000000"/>
          <w:rtl/>
        </w:rPr>
        <w:t>"</w:t>
      </w:r>
      <w:r w:rsidRPr="007D190C">
        <w:rPr>
          <w:rFonts w:ascii="David" w:hAnsi="David"/>
          <w:rtl/>
        </w:rPr>
        <w:t xml:space="preserve">. </w:t>
      </w:r>
    </w:p>
    <w:p w:rsidR="007D190C" w:rsidRPr="007D190C" w:rsidRDefault="007D190C" w:rsidP="007D190C">
      <w:pPr>
        <w:spacing w:line="360" w:lineRule="auto"/>
        <w:jc w:val="both"/>
        <w:rPr>
          <w:rFonts w:ascii="David" w:hAnsi="David"/>
        </w:rPr>
      </w:pPr>
    </w:p>
    <w:p w:rsidR="007D190C" w:rsidRPr="007D190C" w:rsidRDefault="00DE4D55" w:rsidP="007D190C">
      <w:pPr>
        <w:spacing w:line="360" w:lineRule="auto"/>
        <w:ind w:left="360" w:firstLine="360"/>
        <w:jc w:val="both"/>
        <w:rPr>
          <w:rFonts w:ascii="David" w:hAnsi="David"/>
          <w:b/>
          <w:bCs/>
          <w:u w:val="single"/>
          <w:rtl/>
        </w:rPr>
      </w:pPr>
      <w:r w:rsidRPr="007D190C">
        <w:rPr>
          <w:rFonts w:ascii="David" w:hAnsi="David"/>
          <w:b/>
          <w:bCs/>
          <w:u w:val="single"/>
          <w:rtl/>
        </w:rPr>
        <w:t>ענישת קטינים</w:t>
      </w:r>
    </w:p>
    <w:p w:rsidR="007D190C" w:rsidRPr="007D190C" w:rsidRDefault="007D190C" w:rsidP="007D190C">
      <w:pPr>
        <w:spacing w:line="360" w:lineRule="auto"/>
        <w:ind w:left="360" w:firstLine="360"/>
        <w:jc w:val="both"/>
        <w:rPr>
          <w:rFonts w:ascii="David" w:hAnsi="David"/>
          <w:b/>
          <w:bCs/>
          <w:u w:val="single"/>
          <w:rtl/>
        </w:rPr>
      </w:pPr>
    </w:p>
    <w:p w:rsidR="007D190C" w:rsidRPr="007D190C" w:rsidRDefault="00DE4D55" w:rsidP="007D190C">
      <w:pPr>
        <w:spacing w:line="360" w:lineRule="auto"/>
        <w:jc w:val="both"/>
        <w:rPr>
          <w:rFonts w:ascii="David" w:hAnsi="David"/>
          <w:b/>
          <w:bCs/>
          <w:u w:val="single"/>
          <w:rtl/>
        </w:rPr>
      </w:pPr>
      <w:r w:rsidRPr="007D190C">
        <w:rPr>
          <w:rFonts w:ascii="David" w:hAnsi="David"/>
          <w:rtl/>
        </w:rPr>
        <w:t>4.</w:t>
      </w:r>
      <w:r w:rsidRPr="007D190C">
        <w:rPr>
          <w:rFonts w:ascii="David" w:hAnsi="David"/>
          <w:rtl/>
        </w:rPr>
        <w:tab/>
        <w:t>הנאשם הוא קטין שפָּשַׁע. קורבנותיו הן קטינות חפות מחֵטְא.</w:t>
      </w:r>
    </w:p>
    <w:p w:rsidR="007D190C" w:rsidRPr="007D190C" w:rsidRDefault="00DE4D55" w:rsidP="007D190C">
      <w:pPr>
        <w:spacing w:line="360" w:lineRule="auto"/>
        <w:ind w:left="720"/>
        <w:contextualSpacing/>
        <w:jc w:val="both"/>
        <w:rPr>
          <w:rFonts w:ascii="David" w:hAnsi="David"/>
          <w:rtl/>
        </w:rPr>
      </w:pPr>
      <w:r w:rsidRPr="007D190C">
        <w:rPr>
          <w:rFonts w:ascii="David" w:hAnsi="David"/>
          <w:rtl/>
        </w:rPr>
        <w:t xml:space="preserve">לולא היה מדובר בקטין לא הייתי מהסס ומטיל על הנאשם עונש של מאסר משמעותי מאחורי סורג ובריח. </w:t>
      </w:r>
    </w:p>
    <w:p w:rsidR="007D190C" w:rsidRPr="007D190C" w:rsidRDefault="007D190C" w:rsidP="007D190C">
      <w:pPr>
        <w:spacing w:line="360" w:lineRule="auto"/>
        <w:jc w:val="both"/>
        <w:rPr>
          <w:rFonts w:ascii="David" w:hAnsi="David"/>
        </w:rPr>
      </w:pPr>
    </w:p>
    <w:p w:rsidR="007D190C" w:rsidRPr="007D190C" w:rsidRDefault="00DE4D55" w:rsidP="007D190C">
      <w:pPr>
        <w:spacing w:line="360" w:lineRule="auto"/>
        <w:ind w:left="720" w:hanging="720"/>
        <w:jc w:val="both"/>
        <w:rPr>
          <w:rFonts w:ascii="David" w:hAnsi="David"/>
          <w:rtl/>
        </w:rPr>
      </w:pPr>
      <w:r w:rsidRPr="007D190C">
        <w:rPr>
          <w:rFonts w:ascii="David" w:hAnsi="David"/>
          <w:rtl/>
        </w:rPr>
        <w:t>5.</w:t>
      </w:r>
      <w:r w:rsidRPr="007D190C">
        <w:rPr>
          <w:rFonts w:ascii="David" w:hAnsi="David"/>
          <w:rtl/>
        </w:rPr>
        <w:tab/>
        <w:t xml:space="preserve">שיקולי ענישת קטינים מורכבים וסבוכים הם, המעמידים את בית המשפט בדילמות קשות מנשוא, כאשר עלינו למצוא את האיזון הנכון והראוי בין השיקולים השונים, ולגזור את דינו של </w:t>
      </w:r>
      <w:r w:rsidRPr="007D190C">
        <w:rPr>
          <w:rFonts w:ascii="David" w:hAnsi="David"/>
          <w:rtl/>
        </w:rPr>
        <w:t>הנאשם.</w:t>
      </w:r>
    </w:p>
    <w:p w:rsidR="007D190C" w:rsidRPr="007D190C" w:rsidRDefault="00DE4D55" w:rsidP="00383ABB">
      <w:pPr>
        <w:spacing w:line="360" w:lineRule="auto"/>
        <w:ind w:left="720"/>
        <w:jc w:val="both"/>
        <w:rPr>
          <w:rFonts w:ascii="David" w:hAnsi="David"/>
        </w:rPr>
      </w:pPr>
      <w:r w:rsidRPr="007D190C">
        <w:rPr>
          <w:rFonts w:ascii="David" w:hAnsi="David"/>
          <w:rtl/>
        </w:rPr>
        <w:t>חובתו של בית המשפט להיות קשוב למצוקת הנפגעות ולפגיעות שנפגעו, עומדת מול חובתו של בית המשפט לבחון את נסיבותיו האישיות של הנאשם. בית המשפט העליון קבע לא אחת שנקודת המוצא לדיון בעניינם של קטינים שונה היא זו משל בגירים, ומייחסת משקל רב לפן הטיפולי-שיקומ</w:t>
      </w:r>
      <w:r w:rsidRPr="007D190C">
        <w:rPr>
          <w:rFonts w:ascii="David" w:hAnsi="David"/>
          <w:rtl/>
        </w:rPr>
        <w:t>י.</w:t>
      </w:r>
    </w:p>
    <w:p w:rsidR="007D190C" w:rsidRPr="007D190C" w:rsidRDefault="00DE4D55" w:rsidP="007D190C">
      <w:pPr>
        <w:spacing w:line="360" w:lineRule="auto"/>
        <w:ind w:left="360" w:firstLine="360"/>
        <w:jc w:val="both"/>
        <w:rPr>
          <w:rFonts w:ascii="FrankRuehl" w:hAnsi="FrankRuehl" w:cs="FrankRuehl"/>
          <w:b/>
          <w:bCs/>
          <w:color w:val="000000"/>
          <w:spacing w:val="10"/>
          <w:u w:val="single"/>
          <w:rtl/>
        </w:rPr>
      </w:pPr>
      <w:r w:rsidRPr="007D190C">
        <w:rPr>
          <w:rFonts w:ascii="David" w:hAnsi="David"/>
          <w:b/>
          <w:bCs/>
          <w:u w:val="single"/>
          <w:rtl/>
        </w:rPr>
        <w:lastRenderedPageBreak/>
        <w:t>ענישת הנאשם שלפנינו</w:t>
      </w:r>
    </w:p>
    <w:p w:rsidR="007D190C" w:rsidRPr="007D190C" w:rsidRDefault="007D190C" w:rsidP="007D190C">
      <w:pPr>
        <w:spacing w:line="360" w:lineRule="auto"/>
        <w:ind w:left="360" w:firstLine="360"/>
        <w:jc w:val="both"/>
        <w:rPr>
          <w:rFonts w:ascii="FrankRuehl" w:hAnsi="FrankRuehl" w:cs="FrankRuehl"/>
          <w:b/>
          <w:bCs/>
          <w:color w:val="000000"/>
          <w:spacing w:val="10"/>
          <w:u w:val="single"/>
          <w:rtl/>
        </w:rPr>
      </w:pPr>
    </w:p>
    <w:p w:rsidR="007D190C" w:rsidRPr="007D190C" w:rsidRDefault="00DE4D55" w:rsidP="007D190C">
      <w:pPr>
        <w:spacing w:line="360" w:lineRule="auto"/>
        <w:ind w:left="720" w:hanging="720"/>
        <w:jc w:val="both"/>
        <w:rPr>
          <w:rFonts w:ascii="FrankRuehl" w:hAnsi="FrankRuehl" w:cs="FrankRuehl"/>
          <w:b/>
          <w:bCs/>
          <w:color w:val="000000"/>
          <w:spacing w:val="10"/>
          <w:u w:val="single"/>
          <w:rtl/>
        </w:rPr>
      </w:pPr>
      <w:r w:rsidRPr="007D190C">
        <w:rPr>
          <w:rFonts w:ascii="David" w:hAnsi="David"/>
          <w:color w:val="000000"/>
          <w:spacing w:val="10"/>
          <w:rtl/>
        </w:rPr>
        <w:t>6.</w:t>
      </w:r>
      <w:r w:rsidRPr="007D190C">
        <w:rPr>
          <w:rFonts w:ascii="David" w:hAnsi="David"/>
          <w:rtl/>
        </w:rPr>
        <w:tab/>
        <w:t>הנאשם, שנכון לומר בעת הזו, ה</w:t>
      </w:r>
      <w:r w:rsidRPr="007D190C">
        <w:rPr>
          <w:rFonts w:ascii="David" w:hAnsi="David"/>
          <w:shd w:val="clear" w:color="auto" w:fill="FFFFFF"/>
          <w:rtl/>
        </w:rPr>
        <w:t>אָשֵׁם</w:t>
      </w:r>
      <w:r w:rsidRPr="007D190C">
        <w:rPr>
          <w:rFonts w:ascii="David" w:hAnsi="David"/>
          <w:rtl/>
        </w:rPr>
        <w:t>, הודה בביצוע המעשים שיוחסו לו בכתב האישום, והורשע בעבירות אותן ביצע.</w:t>
      </w:r>
    </w:p>
    <w:p w:rsidR="007D190C" w:rsidRPr="007D190C" w:rsidRDefault="00DE4D55" w:rsidP="007D190C">
      <w:pPr>
        <w:spacing w:line="360" w:lineRule="auto"/>
        <w:ind w:left="360" w:firstLine="360"/>
        <w:contextualSpacing/>
        <w:jc w:val="both"/>
        <w:rPr>
          <w:rFonts w:ascii="David" w:hAnsi="David"/>
        </w:rPr>
      </w:pPr>
      <w:r w:rsidRPr="007D190C">
        <w:rPr>
          <w:rFonts w:ascii="David" w:hAnsi="David"/>
          <w:rtl/>
        </w:rPr>
        <w:t xml:space="preserve">הנאשם, הפוגע, עמד מול הנפגעות, הודה בפני בית המשפט ובפניהן בביצוע העבירות. </w:t>
      </w:r>
    </w:p>
    <w:p w:rsidR="007D190C" w:rsidRPr="007D190C" w:rsidRDefault="00DE4D55" w:rsidP="007D190C">
      <w:pPr>
        <w:spacing w:line="360" w:lineRule="auto"/>
        <w:ind w:left="360" w:firstLine="360"/>
        <w:contextualSpacing/>
        <w:jc w:val="both"/>
        <w:rPr>
          <w:rFonts w:ascii="David" w:hAnsi="David"/>
        </w:rPr>
      </w:pPr>
      <w:r w:rsidRPr="007D190C">
        <w:rPr>
          <w:rFonts w:ascii="David" w:hAnsi="David"/>
          <w:rtl/>
        </w:rPr>
        <w:t xml:space="preserve">הוא עמד לפנינו ובנוכחות נפגעות העבירה, התנצל, הביע חרטה ובושה על מעשיו. </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ind w:left="720"/>
        <w:contextualSpacing/>
        <w:jc w:val="both"/>
        <w:rPr>
          <w:rFonts w:ascii="David" w:hAnsi="David"/>
          <w:rtl/>
        </w:rPr>
      </w:pPr>
      <w:r w:rsidRPr="007D190C">
        <w:rPr>
          <w:rFonts w:ascii="David" w:hAnsi="David"/>
          <w:rtl/>
        </w:rPr>
        <w:t>התרשמותי היא שמדובר בחרטה כנה ו</w:t>
      </w:r>
      <w:r w:rsidRPr="007D190C">
        <w:rPr>
          <w:rFonts w:ascii="David" w:hAnsi="David"/>
          <w:color w:val="202124"/>
          <w:shd w:val="clear" w:color="auto" w:fill="FFFFFF"/>
          <w:rtl/>
        </w:rPr>
        <w:t>אֲמִתִּי</w:t>
      </w:r>
      <w:r w:rsidRPr="007D190C">
        <w:rPr>
          <w:rFonts w:ascii="David" w:hAnsi="David"/>
          <w:rtl/>
        </w:rPr>
        <w:t>ת. גם אם יהיה מי שיסבור שאימת הדין היא זו שהובילה את הפוגע להישיר מבט אל הנפגעות ולקבל את האחריות על מעשיו ולבקש מהן מחילה, יש לראות בדבריו אלו</w:t>
      </w:r>
      <w:r w:rsidRPr="007D190C">
        <w:rPr>
          <w:rFonts w:ascii="David" w:hAnsi="David"/>
          <w:rtl/>
        </w:rPr>
        <w:t xml:space="preserve"> ראשיתה של תשובה, המהווה שיקול לקולא בענישה, ויש לייחל לכך שזהו נדבך בהחלמתן של הנפגעות עצמן, וכן שלב בהליך שיקומו.</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jc w:val="both"/>
        <w:rPr>
          <w:rFonts w:ascii="David" w:hAnsi="David"/>
          <w:rtl/>
        </w:rPr>
      </w:pPr>
      <w:r w:rsidRPr="007D190C">
        <w:rPr>
          <w:rFonts w:ascii="David" w:hAnsi="David"/>
          <w:rtl/>
        </w:rPr>
        <w:t>7.</w:t>
      </w:r>
      <w:r w:rsidRPr="007D190C">
        <w:rPr>
          <w:rFonts w:ascii="David" w:hAnsi="David"/>
          <w:rtl/>
        </w:rPr>
        <w:tab/>
        <w:t xml:space="preserve">אם כן; חוק הנוער קובע את דרכי ענישת קטין. </w:t>
      </w:r>
    </w:p>
    <w:p w:rsidR="007D190C" w:rsidRPr="007D190C" w:rsidRDefault="00DE4D55" w:rsidP="007D190C">
      <w:pPr>
        <w:spacing w:line="360" w:lineRule="auto"/>
        <w:ind w:left="720"/>
        <w:contextualSpacing/>
        <w:jc w:val="both"/>
        <w:rPr>
          <w:rFonts w:ascii="David" w:hAnsi="David"/>
        </w:rPr>
      </w:pPr>
      <w:r w:rsidRPr="007D190C">
        <w:rPr>
          <w:rFonts w:ascii="David" w:hAnsi="David"/>
          <w:rtl/>
        </w:rPr>
        <w:t>משהרשענו את הנאשם, יש להכריע האם להענישו בדרך של אחד מאמצעי הטיפול הקבועים בחוק הנוער, או שמא</w:t>
      </w:r>
      <w:r w:rsidRPr="007D190C">
        <w:rPr>
          <w:rFonts w:ascii="David" w:hAnsi="David"/>
          <w:rtl/>
        </w:rPr>
        <w:t xml:space="preserve"> להורות על מאסרו או האם לצוות על החזקתו במעון נעול, חלף אותו מאסר.</w:t>
      </w:r>
    </w:p>
    <w:p w:rsidR="007D190C" w:rsidRPr="007D190C" w:rsidRDefault="00DE4D55" w:rsidP="007D190C">
      <w:pPr>
        <w:spacing w:line="360" w:lineRule="auto"/>
        <w:ind w:left="720"/>
        <w:contextualSpacing/>
        <w:jc w:val="both"/>
        <w:rPr>
          <w:rFonts w:ascii="David" w:hAnsi="David"/>
          <w:rtl/>
        </w:rPr>
      </w:pPr>
      <w:r w:rsidRPr="007D190C">
        <w:rPr>
          <w:rFonts w:ascii="David" w:hAnsi="David"/>
          <w:rtl/>
        </w:rPr>
        <w:t>הוראות חוק הנוער</w:t>
      </w:r>
      <w:r w:rsidRPr="007D190C">
        <w:rPr>
          <w:rFonts w:ascii="David" w:hAnsi="David"/>
          <w:b/>
          <w:bCs/>
          <w:rtl/>
        </w:rPr>
        <w:t xml:space="preserve"> </w:t>
      </w:r>
      <w:r w:rsidRPr="007D190C">
        <w:rPr>
          <w:rFonts w:ascii="David" w:hAnsi="David"/>
          <w:rtl/>
        </w:rPr>
        <w:t>(שפיטה, ענישה ודרכי טיפול), התשל"א-1971, מאפשרות לבית המשפט להורות על דרכי טיפול שונות לקטין שביצע עבירה. במקרה שלפנינו איננו מתלבטים בין האפשרויות של דרכי טיפול הקבועות בח</w:t>
      </w:r>
      <w:r w:rsidRPr="007D190C">
        <w:rPr>
          <w:rFonts w:ascii="David" w:hAnsi="David"/>
          <w:rtl/>
        </w:rPr>
        <w:t xml:space="preserve">וק הנוער. התוצאה העונשית בעיננו ברורה לפיה יש לשלול את חירותו, </w:t>
      </w:r>
      <w:r w:rsidRPr="007D190C">
        <w:rPr>
          <w:rFonts w:ascii="David" w:hAnsi="David"/>
          <w:b/>
          <w:bCs/>
          <w:rtl/>
        </w:rPr>
        <w:t>ולכן מתעוררת אך ורק השאלה בדבר הדרך בה יורחק הנאשם מהציבור</w:t>
      </w:r>
      <w:r w:rsidRPr="007D190C">
        <w:rPr>
          <w:rFonts w:ascii="David" w:hAnsi="David"/>
          <w:rtl/>
        </w:rPr>
        <w:t xml:space="preserve">: בדרך של מאסר או בדרך של החזקתו במעון נעול. </w:t>
      </w:r>
    </w:p>
    <w:p w:rsidR="007D190C" w:rsidRPr="007D190C" w:rsidRDefault="007D190C" w:rsidP="007D190C">
      <w:pPr>
        <w:spacing w:line="360" w:lineRule="auto"/>
        <w:jc w:val="both"/>
        <w:rPr>
          <w:rFonts w:ascii="David" w:hAnsi="David"/>
        </w:rPr>
      </w:pPr>
    </w:p>
    <w:p w:rsidR="007D190C" w:rsidRPr="007D190C" w:rsidRDefault="00DE4D55" w:rsidP="007D190C">
      <w:pPr>
        <w:spacing w:line="360" w:lineRule="auto"/>
        <w:ind w:left="360" w:firstLine="360"/>
        <w:jc w:val="both"/>
        <w:rPr>
          <w:rFonts w:ascii="David" w:hAnsi="David"/>
          <w:b/>
          <w:bCs/>
          <w:rtl/>
        </w:rPr>
      </w:pPr>
      <w:r w:rsidRPr="007D190C">
        <w:rPr>
          <w:rFonts w:ascii="David" w:hAnsi="David"/>
          <w:b/>
          <w:bCs/>
          <w:u w:val="single"/>
          <w:rtl/>
        </w:rPr>
        <w:t>סיכויי הטיפול-שיקום של הנאשם</w:t>
      </w:r>
      <w:r w:rsidRPr="007D190C">
        <w:rPr>
          <w:rFonts w:ascii="David" w:hAnsi="David"/>
          <w:b/>
          <w:bCs/>
          <w:rtl/>
        </w:rPr>
        <w:t xml:space="preserve"> </w:t>
      </w:r>
    </w:p>
    <w:p w:rsidR="007D190C" w:rsidRPr="007D190C" w:rsidRDefault="007D190C" w:rsidP="007D190C">
      <w:pPr>
        <w:spacing w:line="360" w:lineRule="auto"/>
        <w:ind w:left="360" w:firstLine="360"/>
        <w:jc w:val="both"/>
        <w:rPr>
          <w:rFonts w:ascii="David" w:hAnsi="David"/>
          <w:b/>
          <w:bCs/>
          <w:rtl/>
        </w:rPr>
      </w:pPr>
    </w:p>
    <w:p w:rsidR="007D190C" w:rsidRPr="007D190C" w:rsidRDefault="00DE4D55" w:rsidP="007D190C">
      <w:pPr>
        <w:spacing w:line="360" w:lineRule="auto"/>
        <w:jc w:val="both"/>
        <w:rPr>
          <w:rFonts w:ascii="David" w:hAnsi="David"/>
          <w:b/>
          <w:bCs/>
          <w:rtl/>
        </w:rPr>
      </w:pPr>
      <w:r w:rsidRPr="007D190C">
        <w:rPr>
          <w:rFonts w:ascii="David" w:hAnsi="David"/>
          <w:rtl/>
        </w:rPr>
        <w:t>8.</w:t>
      </w:r>
      <w:r w:rsidRPr="007D190C">
        <w:rPr>
          <w:rFonts w:ascii="David" w:hAnsi="David"/>
          <w:b/>
          <w:bCs/>
          <w:rtl/>
        </w:rPr>
        <w:tab/>
      </w:r>
      <w:r w:rsidRPr="007D190C">
        <w:rPr>
          <w:rFonts w:ascii="David" w:hAnsi="David"/>
          <w:rtl/>
        </w:rPr>
        <w:t xml:space="preserve">האם יש לנאשם אופק לשיקום – מסקנתי מקריאת התסקירים היא </w:t>
      </w:r>
      <w:r w:rsidRPr="007D190C">
        <w:rPr>
          <w:rFonts w:ascii="David" w:hAnsi="David"/>
          <w:rtl/>
        </w:rPr>
        <w:t>חיובית.</w:t>
      </w:r>
    </w:p>
    <w:p w:rsidR="007D190C" w:rsidRPr="007D190C" w:rsidRDefault="00DE4D55" w:rsidP="007D190C">
      <w:pPr>
        <w:spacing w:line="360" w:lineRule="auto"/>
        <w:ind w:left="720"/>
        <w:contextualSpacing/>
        <w:jc w:val="both"/>
        <w:rPr>
          <w:rFonts w:ascii="David" w:hAnsi="David"/>
          <w:shd w:val="clear" w:color="auto" w:fill="FFFFFF"/>
          <w:rtl/>
        </w:rPr>
      </w:pPr>
      <w:r w:rsidRPr="007D190C">
        <w:rPr>
          <w:rFonts w:ascii="David" w:hAnsi="David"/>
          <w:rtl/>
        </w:rPr>
        <w:t xml:space="preserve">אמנם התקדמותו של הנאשם בהליך הטיפולי בו הוא מצוי היא איטית באופן יחסי, אולם </w:t>
      </w:r>
      <w:r w:rsidRPr="007D190C">
        <w:rPr>
          <w:rFonts w:ascii="David" w:hAnsi="David"/>
          <w:shd w:val="clear" w:color="auto" w:fill="FFFFFF"/>
          <w:rtl/>
        </w:rPr>
        <w:t xml:space="preserve">מקריאה מדוקדקת ומעמיקה של 3 התסקירים שהוגשו לנו בעניינו של הנאשם ניתן ללמוד על הטעמים שיש בהם כדי להסביר את ההתקדמות האיטית של ההליך השיקומי (ראו תסקיר מיום 24.4.23 עמוד 9 </w:t>
      </w:r>
      <w:r w:rsidRPr="007D190C">
        <w:rPr>
          <w:rFonts w:ascii="David" w:hAnsi="David"/>
          <w:shd w:val="clear" w:color="auto" w:fill="FFFFFF"/>
          <w:rtl/>
        </w:rPr>
        <w:t xml:space="preserve">שורות 10-17), ועל הטעמים הרפואיים שבהתנהגותו הפוגענית (בעמוד 4 לתסקיר מיום 24.4.23 בפרק המישור הטיפולי). לא ניתן להתעלם לטעמי מאמור בתסקיר מיום 1.12.22 בעמוד 5  בפרק על הקשר עם שירות המבחן המלמד על טעמים שיש בהם כדי להבהיר את האטת קצב הליך הטיפול והשיקום, </w:t>
      </w:r>
      <w:r w:rsidRPr="007D190C">
        <w:rPr>
          <w:rFonts w:ascii="David" w:hAnsi="David"/>
          <w:shd w:val="clear" w:color="auto" w:fill="FFFFFF"/>
          <w:rtl/>
        </w:rPr>
        <w:t>שאיננו מכאני.</w:t>
      </w:r>
    </w:p>
    <w:p w:rsidR="007D190C" w:rsidRPr="007D190C" w:rsidRDefault="007D190C" w:rsidP="007D190C">
      <w:pPr>
        <w:spacing w:line="360" w:lineRule="auto"/>
        <w:ind w:left="720"/>
        <w:contextualSpacing/>
        <w:jc w:val="both"/>
        <w:rPr>
          <w:rFonts w:ascii="David" w:hAnsi="David"/>
          <w:shd w:val="clear" w:color="auto" w:fill="FFFFFF"/>
          <w:rtl/>
        </w:rPr>
      </w:pPr>
    </w:p>
    <w:p w:rsidR="007D190C" w:rsidRPr="007D190C" w:rsidRDefault="00DE4D55" w:rsidP="007D190C">
      <w:pPr>
        <w:spacing w:line="360" w:lineRule="auto"/>
        <w:ind w:left="720" w:hanging="720"/>
        <w:jc w:val="both"/>
        <w:rPr>
          <w:rFonts w:ascii="David" w:hAnsi="David"/>
          <w:rtl/>
        </w:rPr>
      </w:pPr>
      <w:r w:rsidRPr="007D190C">
        <w:rPr>
          <w:rFonts w:ascii="David" w:hAnsi="David"/>
          <w:rtl/>
        </w:rPr>
        <w:lastRenderedPageBreak/>
        <w:t>9.</w:t>
      </w:r>
      <w:r w:rsidRPr="007D190C">
        <w:rPr>
          <w:rFonts w:ascii="David" w:hAnsi="David"/>
          <w:rtl/>
        </w:rPr>
        <w:tab/>
        <w:t>מקריאת תסקירי שירות המבחן שעומדים לפנינו, עולה  ששירות המבחן בדעה שבהערכה של כלל גורמי הטיפול, מבלי למעט במהמורות ובקשיים עד כה, ובשים לב להתגייסותו של הנאשם להליך הטיפולי אותה הם רואים, ובשל נסיבותיו האישיות של הנאשם המפורטות בתסקירים על</w:t>
      </w:r>
      <w:r w:rsidRPr="007D190C">
        <w:rPr>
          <w:rFonts w:ascii="David" w:hAnsi="David"/>
          <w:rtl/>
        </w:rPr>
        <w:t xml:space="preserve">יהן לא ארחיב, הוא זקוק לתהליך ארוך טווח, אינטנסיבי ומשמעותי. הליך כזה יהיה בו כדי ליצור תיקון ושינוי תפיסות עולמו, דפוסי התנהגותו ומאפייני אישיותו, על כן המסגרת השיקומית -טיפולית המוצעת על-ידי שירות המבחן היא המקיפה והמדויקת ביותר עבורו. </w:t>
      </w:r>
    </w:p>
    <w:p w:rsidR="007D190C" w:rsidRPr="007D190C" w:rsidRDefault="007D190C" w:rsidP="007D190C">
      <w:pPr>
        <w:spacing w:line="360" w:lineRule="auto"/>
        <w:ind w:left="720" w:hanging="720"/>
        <w:jc w:val="both"/>
        <w:rPr>
          <w:rFonts w:ascii="David" w:hAnsi="David"/>
          <w:rtl/>
        </w:rPr>
      </w:pPr>
    </w:p>
    <w:p w:rsidR="007D190C" w:rsidRPr="007D190C" w:rsidRDefault="00DE4D55" w:rsidP="007D190C">
      <w:pPr>
        <w:spacing w:line="360" w:lineRule="auto"/>
        <w:ind w:left="720" w:hanging="720"/>
        <w:jc w:val="both"/>
        <w:rPr>
          <w:rFonts w:ascii="David" w:hAnsi="David"/>
          <w:shd w:val="clear" w:color="auto" w:fill="FFFFFF"/>
          <w:rtl/>
        </w:rPr>
      </w:pPr>
      <w:r w:rsidRPr="007D190C">
        <w:rPr>
          <w:rFonts w:ascii="David" w:hAnsi="David"/>
          <w:rtl/>
        </w:rPr>
        <w:t>10.</w:t>
      </w:r>
      <w:r w:rsidRPr="007D190C">
        <w:rPr>
          <w:rFonts w:ascii="David" w:hAnsi="David"/>
          <w:rtl/>
        </w:rPr>
        <w:tab/>
        <w:t xml:space="preserve">נראה לי שעל </w:t>
      </w:r>
      <w:r w:rsidRPr="007D190C">
        <w:rPr>
          <w:rFonts w:ascii="David" w:hAnsi="David"/>
          <w:rtl/>
        </w:rPr>
        <w:t xml:space="preserve">פני הדברים, וכאמור בהמלצת גורמי המקצוע, יש לנאשם </w:t>
      </w:r>
      <w:r w:rsidRPr="007D190C">
        <w:rPr>
          <w:rFonts w:ascii="David" w:hAnsi="David"/>
          <w:shd w:val="clear" w:color="auto" w:fill="FFFFFF"/>
          <w:rtl/>
        </w:rPr>
        <w:t>אופק טיפולי שיקומי שסיכוייו טובים.</w:t>
      </w:r>
    </w:p>
    <w:p w:rsidR="007D190C" w:rsidRPr="007D190C" w:rsidRDefault="007D190C" w:rsidP="007D190C">
      <w:pPr>
        <w:spacing w:line="360" w:lineRule="auto"/>
        <w:jc w:val="both"/>
        <w:rPr>
          <w:rFonts w:ascii="David" w:hAnsi="David"/>
          <w:b/>
          <w:bCs/>
          <w:u w:val="single"/>
          <w:rtl/>
        </w:rPr>
      </w:pPr>
    </w:p>
    <w:p w:rsidR="007D190C" w:rsidRPr="007D190C" w:rsidRDefault="00DE4D55" w:rsidP="007D190C">
      <w:pPr>
        <w:spacing w:line="360" w:lineRule="auto"/>
        <w:ind w:left="720"/>
        <w:jc w:val="both"/>
        <w:rPr>
          <w:rFonts w:ascii="David" w:hAnsi="David"/>
          <w:rtl/>
        </w:rPr>
      </w:pPr>
      <w:r w:rsidRPr="007D190C">
        <w:rPr>
          <w:rFonts w:ascii="David" w:hAnsi="David"/>
          <w:b/>
          <w:bCs/>
          <w:u w:val="single"/>
          <w:rtl/>
        </w:rPr>
        <w:t>חומרת העבירות</w:t>
      </w:r>
    </w:p>
    <w:p w:rsidR="007D190C" w:rsidRPr="007D190C" w:rsidRDefault="007D190C" w:rsidP="007D190C">
      <w:pPr>
        <w:spacing w:line="360" w:lineRule="auto"/>
        <w:jc w:val="both"/>
        <w:rPr>
          <w:rFonts w:ascii="David" w:hAnsi="David"/>
          <w:rtl/>
        </w:rPr>
      </w:pPr>
    </w:p>
    <w:p w:rsidR="009C028F" w:rsidRDefault="00DE4D55" w:rsidP="009C028F">
      <w:pPr>
        <w:spacing w:line="360" w:lineRule="auto"/>
        <w:ind w:left="720" w:hanging="720"/>
        <w:jc w:val="both"/>
        <w:rPr>
          <w:rFonts w:cs="Calibri"/>
          <w:sz w:val="22"/>
          <w:szCs w:val="22"/>
        </w:rPr>
      </w:pPr>
      <w:r w:rsidRPr="007D190C">
        <w:rPr>
          <w:rFonts w:ascii="David" w:hAnsi="David"/>
          <w:rtl/>
        </w:rPr>
        <w:t>11.</w:t>
      </w:r>
      <w:r w:rsidRPr="007D190C">
        <w:rPr>
          <w:rFonts w:ascii="David" w:hAnsi="David"/>
          <w:rtl/>
        </w:rPr>
        <w:tab/>
      </w:r>
      <w:r w:rsidRPr="009C028F">
        <w:rPr>
          <w:rFonts w:ascii="David" w:hAnsi="David"/>
          <w:rtl/>
        </w:rPr>
        <w:t>כל אחד מהמעשים אותם עשה הנאשם בנפגעות הוא פסול, פוגעני</w:t>
      </w:r>
      <w:r w:rsidR="00383ABB">
        <w:rPr>
          <w:rFonts w:ascii="David" w:hAnsi="David" w:hint="cs"/>
          <w:rtl/>
        </w:rPr>
        <w:t>,</w:t>
      </w:r>
      <w:r w:rsidR="00383ABB">
        <w:rPr>
          <w:rFonts w:ascii="David" w:hAnsi="David"/>
          <w:rtl/>
        </w:rPr>
        <w:t xml:space="preserve"> </w:t>
      </w:r>
      <w:r w:rsidRPr="009C028F">
        <w:rPr>
          <w:rFonts w:ascii="David" w:hAnsi="David"/>
          <w:rtl/>
        </w:rPr>
        <w:t>קשה וחמור גם כשהוא לעצמו; אפילו היית מוכן ללכת לקראת הנאשם ולקבל התייחסות מקלה ביחס לדרגת החומרה</w:t>
      </w:r>
      <w:r w:rsidRPr="009C028F">
        <w:rPr>
          <w:rFonts w:ascii="David" w:hAnsi="David"/>
          <w:rtl/>
        </w:rPr>
        <w:t xml:space="preserve"> בין המעשים, הרי הצטרפותם של המעשים גם יחד, מספרם, ומספר הנפגעות, לא מאפשר שלא להתייחס למכלול הדברים בחומרה המתבקשת.</w:t>
      </w:r>
    </w:p>
    <w:p w:rsidR="009C028F" w:rsidRPr="007D190C" w:rsidRDefault="009C028F" w:rsidP="009C028F">
      <w:pPr>
        <w:spacing w:line="360" w:lineRule="auto"/>
        <w:jc w:val="both"/>
        <w:rPr>
          <w:rFonts w:ascii="David" w:hAnsi="David"/>
          <w:rtl/>
        </w:rPr>
      </w:pPr>
    </w:p>
    <w:p w:rsidR="007D190C" w:rsidRPr="007D190C" w:rsidRDefault="00DE4D55" w:rsidP="007D190C">
      <w:pPr>
        <w:spacing w:line="360" w:lineRule="auto"/>
        <w:ind w:left="720" w:hanging="720"/>
        <w:jc w:val="both"/>
        <w:rPr>
          <w:rFonts w:ascii="David" w:hAnsi="David"/>
          <w:rtl/>
        </w:rPr>
      </w:pPr>
      <w:r w:rsidRPr="007D190C">
        <w:rPr>
          <w:rFonts w:ascii="David" w:hAnsi="David"/>
          <w:rtl/>
        </w:rPr>
        <w:t>12.</w:t>
      </w:r>
      <w:r w:rsidRPr="007D190C">
        <w:rPr>
          <w:rFonts w:ascii="David" w:hAnsi="David"/>
          <w:rtl/>
        </w:rPr>
        <w:tab/>
        <w:t>שישה אישומים ביחס לשש קטינות. מעשים שונים בשש נפגעות. לא ניתן לראות זאת כאירוע חד פעמי</w:t>
      </w:r>
      <w:r w:rsidR="00007F15">
        <w:rPr>
          <w:rFonts w:ascii="David" w:hAnsi="David" w:hint="cs"/>
          <w:rtl/>
        </w:rPr>
        <w:t xml:space="preserve"> וקל ערך</w:t>
      </w:r>
      <w:r w:rsidRPr="007D190C">
        <w:rPr>
          <w:rFonts w:ascii="David" w:hAnsi="David"/>
          <w:rtl/>
        </w:rPr>
        <w:t>.  הדבר מצביע על דפוס התנהגות פסול המעיד</w:t>
      </w:r>
      <w:r w:rsidRPr="007D190C">
        <w:rPr>
          <w:rFonts w:ascii="David" w:hAnsi="David"/>
          <w:rtl/>
        </w:rPr>
        <w:t xml:space="preserve"> על </w:t>
      </w:r>
      <w:r w:rsidRPr="007D190C">
        <w:rPr>
          <w:rFonts w:ascii="David" w:hAnsi="David"/>
          <w:shd w:val="clear" w:color="auto" w:fill="FFFFFF"/>
          <w:rtl/>
        </w:rPr>
        <w:t>העדר כבוד לבנות זוגו, העדר רגישות והבנה לצרכיהן, חוסר הבנה</w:t>
      </w:r>
      <w:r w:rsidRPr="007D190C">
        <w:rPr>
          <w:rFonts w:ascii="David" w:hAnsi="David"/>
          <w:rtl/>
        </w:rPr>
        <w:t xml:space="preserve"> של התנהלות במערכת בינאישית ובמערכות יחסים, וזאת תוך התרכזות בצרכיו שלו, ושלו בלבד. </w:t>
      </w:r>
    </w:p>
    <w:p w:rsidR="007D190C" w:rsidRPr="007D190C" w:rsidRDefault="007D190C" w:rsidP="007D190C">
      <w:pPr>
        <w:spacing w:line="360" w:lineRule="auto"/>
        <w:ind w:left="720" w:hanging="720"/>
        <w:jc w:val="both"/>
        <w:rPr>
          <w:rFonts w:ascii="David" w:hAnsi="David"/>
          <w:rtl/>
        </w:rPr>
      </w:pPr>
    </w:p>
    <w:p w:rsidR="007D190C" w:rsidRPr="007D190C" w:rsidRDefault="00DE4D55" w:rsidP="007D190C">
      <w:pPr>
        <w:spacing w:line="360" w:lineRule="auto"/>
        <w:ind w:left="720" w:hanging="720"/>
        <w:jc w:val="both"/>
        <w:rPr>
          <w:rFonts w:ascii="David" w:hAnsi="David"/>
          <w:rtl/>
        </w:rPr>
      </w:pPr>
      <w:r w:rsidRPr="007D190C">
        <w:rPr>
          <w:rFonts w:ascii="David" w:hAnsi="David"/>
          <w:rtl/>
        </w:rPr>
        <w:t>13.</w:t>
      </w:r>
      <w:r w:rsidRPr="007D190C">
        <w:rPr>
          <w:rFonts w:ascii="David" w:hAnsi="David"/>
          <w:rtl/>
        </w:rPr>
        <w:tab/>
        <w:t>אולם בענישה עסקינן – ואין לנתק את חומרת העבירות בהלימה לנסיבות ביצוען, ועל כן התוצאה אליה הגיעה השופטת ר</w:t>
      </w:r>
      <w:r w:rsidRPr="007D190C">
        <w:rPr>
          <w:rFonts w:ascii="David" w:hAnsi="David"/>
          <w:rtl/>
        </w:rPr>
        <w:t>ביד, נותנת ביטוי ענישתי המשקף את החומרה של דפוס ההתנהגות של הנאשם לצד נסיבות העניין, ולתוצאה זו אני מצטרף.</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ind w:left="720"/>
        <w:jc w:val="both"/>
        <w:rPr>
          <w:rFonts w:ascii="David" w:hAnsi="David"/>
          <w:b/>
          <w:bCs/>
          <w:u w:val="single"/>
          <w:rtl/>
        </w:rPr>
      </w:pPr>
      <w:r w:rsidRPr="007D190C">
        <w:rPr>
          <w:rFonts w:ascii="David" w:hAnsi="David"/>
          <w:b/>
          <w:bCs/>
          <w:u w:val="single"/>
          <w:rtl/>
        </w:rPr>
        <w:t>דרכי טיפול ושיקום – מעון נעול</w:t>
      </w:r>
    </w:p>
    <w:p w:rsidR="007D190C" w:rsidRPr="007D190C" w:rsidRDefault="007D190C" w:rsidP="007D190C">
      <w:pPr>
        <w:spacing w:line="360" w:lineRule="auto"/>
        <w:ind w:left="360"/>
        <w:jc w:val="both"/>
        <w:rPr>
          <w:rFonts w:ascii="David" w:hAnsi="David"/>
          <w:b/>
          <w:bCs/>
          <w:u w:val="single"/>
          <w:rtl/>
        </w:rPr>
      </w:pPr>
    </w:p>
    <w:p w:rsidR="007D190C" w:rsidRPr="007D190C" w:rsidRDefault="00DE4D55" w:rsidP="007D190C">
      <w:pPr>
        <w:spacing w:line="360" w:lineRule="auto"/>
        <w:ind w:left="720" w:hanging="720"/>
        <w:jc w:val="both"/>
        <w:rPr>
          <w:rFonts w:ascii="David" w:hAnsi="David"/>
          <w:rtl/>
        </w:rPr>
      </w:pPr>
      <w:r w:rsidRPr="007D190C">
        <w:rPr>
          <w:rFonts w:ascii="David" w:hAnsi="David"/>
          <w:rtl/>
        </w:rPr>
        <w:t>14.</w:t>
      </w:r>
      <w:r w:rsidRPr="007D190C">
        <w:rPr>
          <w:rFonts w:ascii="David" w:hAnsi="David"/>
          <w:rtl/>
        </w:rPr>
        <w:tab/>
        <w:t xml:space="preserve">אם אמרנו שמצד אחד עומדת האפשרות לשלוח את הנאשם למאסר של ממש, הרי סעיף 25 (א)(1) </w:t>
      </w:r>
      <w:r w:rsidRPr="007D190C">
        <w:rPr>
          <w:rFonts w:ascii="David" w:hAnsi="David"/>
          <w:b/>
          <w:bCs/>
          <w:rtl/>
        </w:rPr>
        <w:t>לחוק הנוער</w:t>
      </w:r>
      <w:r w:rsidRPr="007D190C">
        <w:rPr>
          <w:rFonts w:ascii="David" w:hAnsi="David"/>
          <w:rtl/>
        </w:rPr>
        <w:t xml:space="preserve"> מאפשר לבית המשפט לקבוע</w:t>
      </w:r>
      <w:r w:rsidRPr="007D190C">
        <w:rPr>
          <w:rFonts w:ascii="David" w:hAnsi="David"/>
          <w:rtl/>
        </w:rPr>
        <w:t xml:space="preserve"> כי חֵלֶף מאסר, יוחזק הקטין העבריין ב-"</w:t>
      </w:r>
      <w:r w:rsidRPr="007D190C">
        <w:rPr>
          <w:rFonts w:ascii="David" w:hAnsi="David"/>
          <w:b/>
          <w:bCs/>
          <w:rtl/>
        </w:rPr>
        <w:t>מעון נעול</w:t>
      </w:r>
      <w:r w:rsidRPr="007D190C">
        <w:rPr>
          <w:rFonts w:ascii="David" w:hAnsi="David"/>
          <w:rtl/>
        </w:rPr>
        <w:t>".</w:t>
      </w:r>
    </w:p>
    <w:p w:rsidR="007D190C" w:rsidRPr="007D190C" w:rsidRDefault="007D190C" w:rsidP="007D190C">
      <w:pPr>
        <w:spacing w:line="360" w:lineRule="auto"/>
        <w:ind w:left="360"/>
        <w:contextualSpacing/>
        <w:jc w:val="both"/>
        <w:rPr>
          <w:rFonts w:ascii="David" w:hAnsi="David"/>
          <w:rtl/>
        </w:rPr>
      </w:pPr>
    </w:p>
    <w:p w:rsidR="007D190C" w:rsidRPr="007D190C" w:rsidRDefault="00DE4D55" w:rsidP="007D190C">
      <w:pPr>
        <w:spacing w:line="360" w:lineRule="auto"/>
        <w:jc w:val="both"/>
        <w:rPr>
          <w:rFonts w:ascii="David" w:hAnsi="David"/>
        </w:rPr>
      </w:pPr>
      <w:r w:rsidRPr="007D190C">
        <w:rPr>
          <w:rFonts w:ascii="David" w:hAnsi="David"/>
          <w:rtl/>
        </w:rPr>
        <w:t>15.</w:t>
      </w:r>
      <w:r w:rsidRPr="007D190C">
        <w:rPr>
          <w:rFonts w:ascii="David" w:hAnsi="David"/>
          <w:rtl/>
        </w:rPr>
        <w:tab/>
        <w:t xml:space="preserve">ומהו אותו מעון נעול? </w:t>
      </w:r>
    </w:p>
    <w:p w:rsidR="007D190C" w:rsidRPr="007D190C" w:rsidRDefault="007D190C" w:rsidP="007D190C">
      <w:pPr>
        <w:spacing w:line="360" w:lineRule="auto"/>
        <w:ind w:left="360"/>
        <w:contextualSpacing/>
        <w:jc w:val="both"/>
        <w:rPr>
          <w:rFonts w:ascii="David" w:hAnsi="David"/>
          <w:rtl/>
        </w:rPr>
      </w:pPr>
    </w:p>
    <w:p w:rsidR="007D190C" w:rsidRPr="007D190C" w:rsidRDefault="00DE4D55" w:rsidP="007D190C">
      <w:pPr>
        <w:spacing w:line="360" w:lineRule="auto"/>
        <w:ind w:left="720"/>
        <w:jc w:val="both"/>
        <w:rPr>
          <w:rFonts w:ascii="David" w:hAnsi="David"/>
          <w:rtl/>
        </w:rPr>
      </w:pPr>
      <w:r w:rsidRPr="007D190C">
        <w:rPr>
          <w:rFonts w:ascii="David" w:hAnsi="David"/>
          <w:rtl/>
        </w:rPr>
        <w:t>מעון נעול כמוהו כמתקן כליאה בו חירותו של הקטין נשללת והיא מוגבלת; הקטין מורחק מן החברה ומבודד ממנה. אמנם אין המדובר במאסר מאחורי סורג ובריח, אולם המדובר במתקן שהייה סגור ונעול מ</w:t>
      </w:r>
      <w:r w:rsidRPr="007D190C">
        <w:rPr>
          <w:rFonts w:ascii="David" w:hAnsi="David"/>
          <w:rtl/>
        </w:rPr>
        <w:t xml:space="preserve">פני העולם.  חירותו ותנועות הקטין מוגבלות בו ומפוקחות.  </w:t>
      </w:r>
    </w:p>
    <w:p w:rsidR="007D190C" w:rsidRPr="007D190C" w:rsidRDefault="00DE4D55" w:rsidP="007D190C">
      <w:pPr>
        <w:spacing w:line="360" w:lineRule="auto"/>
        <w:ind w:left="720"/>
        <w:contextualSpacing/>
        <w:jc w:val="both"/>
        <w:rPr>
          <w:rFonts w:ascii="David" w:hAnsi="David"/>
          <w:rtl/>
        </w:rPr>
      </w:pPr>
      <w:r w:rsidRPr="007D190C">
        <w:rPr>
          <w:rFonts w:ascii="David" w:hAnsi="David"/>
          <w:rtl/>
        </w:rPr>
        <w:t xml:space="preserve">נכון, המדובר באמצעי טיפולי-שיקומי, שאינו עולה כדי מאסר, אולם השהייה במעון הנעול כפופה לתנאי המתקן ולהירתמות הנאשם באופן מלא להליך השיקום. הפרת תנאי התוכנית הטיפולית באופן שיסכל את ההליך השיקומי תגרור </w:t>
      </w:r>
      <w:r w:rsidRPr="007D190C">
        <w:rPr>
          <w:rFonts w:ascii="David" w:hAnsi="David"/>
          <w:rtl/>
        </w:rPr>
        <w:t>את האפשרות כי הקטין יועבר להמשך ריצוי עונשו במאסר של ממש (ראו: ע"פ 5593/21</w:t>
      </w:r>
      <w:r w:rsidRPr="007D190C">
        <w:rPr>
          <w:rFonts w:ascii="David" w:hAnsi="David"/>
          <w:b/>
          <w:bCs/>
          <w:rtl/>
        </w:rPr>
        <w:t xml:space="preserve"> פלוני נ' מדינת ישראל</w:t>
      </w:r>
      <w:r w:rsidRPr="007D190C">
        <w:rPr>
          <w:rFonts w:ascii="David" w:hAnsi="David"/>
          <w:rtl/>
        </w:rPr>
        <w:t>, (נבו 21.10.21).</w:t>
      </w:r>
    </w:p>
    <w:p w:rsidR="007D190C" w:rsidRPr="007D190C" w:rsidRDefault="007D190C" w:rsidP="007D190C">
      <w:pPr>
        <w:spacing w:line="360" w:lineRule="auto"/>
        <w:ind w:left="720"/>
        <w:contextualSpacing/>
        <w:jc w:val="both"/>
        <w:rPr>
          <w:rFonts w:ascii="David" w:hAnsi="David"/>
          <w:rtl/>
        </w:rPr>
      </w:pPr>
    </w:p>
    <w:p w:rsidR="007D190C" w:rsidRPr="007D190C" w:rsidRDefault="00DE4D55" w:rsidP="007D190C">
      <w:pPr>
        <w:spacing w:line="360" w:lineRule="auto"/>
        <w:ind w:left="720" w:hanging="720"/>
        <w:jc w:val="both"/>
        <w:rPr>
          <w:rFonts w:ascii="David" w:hAnsi="David"/>
          <w:rtl/>
        </w:rPr>
      </w:pPr>
      <w:r w:rsidRPr="007D190C">
        <w:rPr>
          <w:rFonts w:ascii="David" w:hAnsi="David"/>
          <w:rtl/>
        </w:rPr>
        <w:t>16.</w:t>
      </w:r>
      <w:r w:rsidRPr="007D190C">
        <w:rPr>
          <w:rFonts w:ascii="David" w:hAnsi="David"/>
          <w:rtl/>
        </w:rPr>
        <w:tab/>
        <w:t>מילים אחרות – ויש לומר זאת על מנת שלא תצא שגגה מלפני מאן דהוא - המחוקק ביקש לעשות את הכליאה לקטינים מועילה יותר ומזיקה פחות, כאשר צרכי הגנ</w:t>
      </w:r>
      <w:r w:rsidRPr="007D190C">
        <w:rPr>
          <w:rFonts w:ascii="David" w:hAnsi="David"/>
          <w:rtl/>
        </w:rPr>
        <w:t>ת הציבור מפני אותם קטינים יכולים לבוא על סיפוקם באמצעי שמירה ומשמעת פחות קפדניים מבית סוהר, וכך יש לראות את מתקן סגור זה, המעון הנעול.</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ind w:left="360"/>
        <w:jc w:val="both"/>
        <w:rPr>
          <w:rFonts w:ascii="David" w:hAnsi="David"/>
          <w:b/>
          <w:bCs/>
          <w:u w:val="single"/>
          <w:rtl/>
        </w:rPr>
      </w:pPr>
      <w:r w:rsidRPr="007D190C">
        <w:rPr>
          <w:rFonts w:ascii="David" w:hAnsi="David"/>
          <w:b/>
          <w:bCs/>
          <w:u w:val="single"/>
          <w:rtl/>
        </w:rPr>
        <w:t>מעון נעול או מאסר</w:t>
      </w:r>
    </w:p>
    <w:p w:rsidR="007D190C" w:rsidRPr="007D190C" w:rsidRDefault="007D190C" w:rsidP="007D190C">
      <w:pPr>
        <w:spacing w:line="360" w:lineRule="auto"/>
        <w:ind w:left="360"/>
        <w:jc w:val="both"/>
        <w:rPr>
          <w:rFonts w:ascii="David" w:hAnsi="David"/>
          <w:b/>
          <w:bCs/>
          <w:u w:val="single"/>
          <w:rtl/>
        </w:rPr>
      </w:pPr>
    </w:p>
    <w:p w:rsidR="007D190C" w:rsidRPr="007D190C" w:rsidRDefault="00DE4D55" w:rsidP="007D190C">
      <w:pPr>
        <w:spacing w:line="360" w:lineRule="auto"/>
        <w:ind w:left="720" w:hanging="720"/>
        <w:jc w:val="both"/>
        <w:rPr>
          <w:rFonts w:ascii="David" w:hAnsi="David"/>
          <w:b/>
          <w:bCs/>
          <w:u w:val="single"/>
          <w:rtl/>
        </w:rPr>
      </w:pPr>
      <w:r w:rsidRPr="007D190C">
        <w:rPr>
          <w:rFonts w:ascii="David" w:hAnsi="David"/>
          <w:rtl/>
        </w:rPr>
        <w:t>17.</w:t>
      </w:r>
      <w:r w:rsidRPr="007D190C">
        <w:rPr>
          <w:rFonts w:ascii="David" w:hAnsi="David"/>
          <w:rtl/>
        </w:rPr>
        <w:tab/>
        <w:t>אם כך, השאלה המתבקשת היא האם יש להטיל על הנאשם עונש של מאסר מאחורי סורג ובריח, או להעבירו למעון נ</w:t>
      </w:r>
      <w:r w:rsidRPr="007D190C">
        <w:rPr>
          <w:rFonts w:ascii="David" w:hAnsi="David"/>
          <w:rtl/>
        </w:rPr>
        <w:t>עול בו ישהה עד גיל 21, שהוא הגיל המקסימלי בדין להחזקתו שם, היינו, ישלים תקופה של 4.5 שנים בשהייה במעון הנעול, כהמלצת שירות המבחן.</w:t>
      </w:r>
    </w:p>
    <w:p w:rsidR="007D190C" w:rsidRPr="007D190C" w:rsidRDefault="00DE4D55" w:rsidP="007D190C">
      <w:pPr>
        <w:spacing w:line="360" w:lineRule="auto"/>
        <w:ind w:left="720"/>
        <w:jc w:val="both"/>
        <w:rPr>
          <w:rFonts w:ascii="David" w:hAnsi="David"/>
          <w:rtl/>
        </w:rPr>
      </w:pPr>
      <w:r w:rsidRPr="007D190C">
        <w:rPr>
          <w:rFonts w:ascii="David" w:hAnsi="David"/>
          <w:rtl/>
        </w:rPr>
        <w:t>זאת יש לבחון על פי מספר פרמטרים בהם גילו של הנאשם בעת ביצוע העבירות, וכן נסיבות אחרות שאינן קשורות לביצוע העבירות:</w:t>
      </w:r>
    </w:p>
    <w:p w:rsidR="007D190C" w:rsidRPr="007D190C" w:rsidRDefault="00DE4D55" w:rsidP="007D190C">
      <w:pPr>
        <w:spacing w:line="360" w:lineRule="auto"/>
        <w:ind w:left="720"/>
        <w:contextualSpacing/>
        <w:jc w:val="both"/>
        <w:rPr>
          <w:rFonts w:ascii="David" w:hAnsi="David"/>
        </w:rPr>
      </w:pPr>
      <w:r w:rsidRPr="007D190C">
        <w:rPr>
          <w:rFonts w:ascii="David" w:hAnsi="David"/>
          <w:rtl/>
        </w:rPr>
        <w:t xml:space="preserve">ביחס לגילו </w:t>
      </w:r>
      <w:r w:rsidRPr="007D190C">
        <w:rPr>
          <w:rFonts w:ascii="David" w:hAnsi="David"/>
          <w:rtl/>
        </w:rPr>
        <w:t xml:space="preserve">של הנאשם בעת ביצוע העבירות – 13-15 שנים: </w:t>
      </w:r>
      <w:r w:rsidRPr="007D190C">
        <w:rPr>
          <w:rFonts w:ascii="David" w:hAnsi="David"/>
          <w:b/>
          <w:bCs/>
          <w:rtl/>
        </w:rPr>
        <w:t>חוק הנוער</w:t>
      </w:r>
      <w:r w:rsidRPr="007D190C">
        <w:rPr>
          <w:rFonts w:ascii="David" w:hAnsi="David"/>
          <w:rtl/>
        </w:rPr>
        <w:t xml:space="preserve"> קובע בסעיף 25(ג) שבעת קביעת עונשו של קטין יתחשב בית המשפט לנוער גם בגילו של הנאשם בשעת ביצוע העבירות. לנתון זה יש משקל, שלא מצאתי לו ביטוי במסגרת טיעוני המאשימה. </w:t>
      </w:r>
    </w:p>
    <w:p w:rsidR="007D190C" w:rsidRPr="007D190C" w:rsidRDefault="00DE4D55" w:rsidP="007D190C">
      <w:pPr>
        <w:spacing w:line="360" w:lineRule="auto"/>
        <w:ind w:left="720"/>
        <w:jc w:val="both"/>
        <w:rPr>
          <w:rFonts w:ascii="David" w:hAnsi="David"/>
          <w:rtl/>
        </w:rPr>
      </w:pPr>
      <w:r w:rsidRPr="007D190C">
        <w:rPr>
          <w:rFonts w:ascii="David" w:hAnsi="David"/>
          <w:rtl/>
        </w:rPr>
        <w:t xml:space="preserve">גם אני סבור שבמסגרת השיקולים יש לזקוף לזכותו של הנאשם את העובדה שלקח אחריות, הודה בעובדות כתב האישום, לא ניהל הליך וכך גם חסך את עדות המתלוננות. </w:t>
      </w:r>
    </w:p>
    <w:p w:rsidR="007D190C" w:rsidRPr="007D190C" w:rsidRDefault="00DE4D55" w:rsidP="007D190C">
      <w:pPr>
        <w:spacing w:line="360" w:lineRule="auto"/>
        <w:ind w:left="720"/>
        <w:contextualSpacing/>
        <w:jc w:val="both"/>
        <w:rPr>
          <w:rFonts w:ascii="David" w:hAnsi="David"/>
          <w:rtl/>
        </w:rPr>
      </w:pPr>
      <w:r w:rsidRPr="007D190C">
        <w:rPr>
          <w:rFonts w:ascii="David" w:hAnsi="David"/>
          <w:rtl/>
        </w:rPr>
        <w:t>הרי אם היה הנאשם בגיר, היינו מתחשבים בנסיבות אלה שאינן קשורות לביצוע העבירה (ראו הוראות סעיף 40יא(4) ו-(6) לחו</w:t>
      </w:r>
      <w:r w:rsidRPr="007D190C">
        <w:rPr>
          <w:rFonts w:ascii="David" w:hAnsi="David"/>
          <w:rtl/>
        </w:rPr>
        <w:t xml:space="preserve">ק העונשין). מטעמים שלא נמצאו, נפקד עניין זה כשיקול מטיעוני המאשימה; הרי לא יעלה על הדעת שנעמוד לפני מצב בו לו היה נשפט הנאשם לפנינו כבגיר בבית משפט שאיננו לנוער, היינו נמצאים מתחשבים בו בשל טעמים אלו, ועתה כשהוא קטין, הנשפט בבית משפט לנוער, נמצאנו מחמירים </w:t>
      </w:r>
      <w:r w:rsidRPr="007D190C">
        <w:rPr>
          <w:rFonts w:ascii="David" w:hAnsi="David"/>
          <w:rtl/>
        </w:rPr>
        <w:t>עמו יותר מבגיר (ראו בהקשר זה:</w:t>
      </w:r>
      <w:r w:rsidRPr="007D190C">
        <w:rPr>
          <w:rFonts w:ascii="David" w:hAnsi="David"/>
        </w:rPr>
        <w:t xml:space="preserve"> In re Gault - 387 U.S. 1, 87 S. Ct. 1428 (1967)</w:t>
      </w:r>
      <w:r w:rsidRPr="007D190C">
        <w:rPr>
          <w:rFonts w:ascii="David" w:hAnsi="David"/>
          <w:rtl/>
        </w:rPr>
        <w:t xml:space="preserve"> בעמוד 29).</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ind w:left="720" w:hanging="720"/>
        <w:jc w:val="both"/>
        <w:rPr>
          <w:rFonts w:ascii="David" w:hAnsi="David"/>
          <w:rtl/>
        </w:rPr>
      </w:pPr>
      <w:r w:rsidRPr="007D190C">
        <w:rPr>
          <w:rFonts w:ascii="David" w:hAnsi="David"/>
          <w:rtl/>
        </w:rPr>
        <w:lastRenderedPageBreak/>
        <w:t>18.</w:t>
      </w:r>
      <w:r w:rsidRPr="007D190C">
        <w:rPr>
          <w:rFonts w:ascii="David" w:hAnsi="David"/>
          <w:rtl/>
        </w:rPr>
        <w:tab/>
        <w:t>יש לערוך את האיזון העדין שבין האינטרסים השונים, כאשר דעתי היא  שאין לראות את שיקול השיקום כעומד מול שיקול הגמול באופן דיכוטומי, כך שקבלתו של שיקול אחד תבוא על חשב</w:t>
      </w:r>
      <w:r w:rsidRPr="007D190C">
        <w:rPr>
          <w:rFonts w:ascii="David" w:hAnsi="David"/>
          <w:rtl/>
        </w:rPr>
        <w:t>ונו של השיקול האחר. מורכבותם של שיקולי הענישה בבית המשפט לנוער יוצרים גם מצבי ביניים ותחומים אפורים כפי שאראה להלן.</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ind w:left="720" w:hanging="720"/>
        <w:jc w:val="both"/>
        <w:rPr>
          <w:rFonts w:ascii="David" w:hAnsi="David"/>
          <w:rtl/>
        </w:rPr>
      </w:pPr>
      <w:r w:rsidRPr="007D190C">
        <w:rPr>
          <w:rFonts w:ascii="David" w:hAnsi="David"/>
          <w:rtl/>
        </w:rPr>
        <w:t>19.</w:t>
      </w:r>
      <w:r w:rsidRPr="007D190C">
        <w:rPr>
          <w:rFonts w:ascii="David" w:hAnsi="David"/>
          <w:rtl/>
        </w:rPr>
        <w:tab/>
        <w:t xml:space="preserve">אינטרס הציבור הוא השמת הנאשם במעון נעול </w:t>
      </w:r>
      <w:r w:rsidRPr="007D190C">
        <w:rPr>
          <w:rFonts w:ascii="David" w:hAnsi="David"/>
          <w:b/>
          <w:bCs/>
          <w:rtl/>
        </w:rPr>
        <w:t>לתקופה המרבית</w:t>
      </w:r>
      <w:r w:rsidRPr="007D190C">
        <w:rPr>
          <w:rFonts w:ascii="David" w:hAnsi="David"/>
          <w:rtl/>
        </w:rPr>
        <w:t xml:space="preserve"> בדין לשהייה בו (גיל 21), היינו למשך עוד כארבע שנים שם יטופל ויכול שיצא לחופש בבא </w:t>
      </w:r>
      <w:r w:rsidRPr="007D190C">
        <w:rPr>
          <w:rFonts w:ascii="David" w:hAnsi="David"/>
          <w:rtl/>
        </w:rPr>
        <w:t xml:space="preserve">העת כאדם נורמטיבי לאחר שיקום. </w:t>
      </w:r>
      <w:r w:rsidRPr="007D190C">
        <w:rPr>
          <w:rFonts w:ascii="David" w:hAnsi="David"/>
          <w:shd w:val="clear" w:color="auto" w:fill="FFFFFF"/>
          <w:rtl/>
        </w:rPr>
        <w:t>בניגוד למעון נעול, בו ההליך הטיפולי והשיקומי הוא טבוע ואינהרנטי לשהייה בו, הרי לא ניתן לקבוע בוודאות כי תוכנית שיקום בבית הכלא, ככל שהנאשם יופנה אליה, תניב את התוצאה הרצויה, וגם שיקול זה מוביל אותי למסקנה שטיפול ושיקום עדיף.</w:t>
      </w:r>
    </w:p>
    <w:p w:rsidR="007D190C" w:rsidRPr="007D190C" w:rsidRDefault="007D190C" w:rsidP="007D190C">
      <w:pPr>
        <w:spacing w:line="360" w:lineRule="auto"/>
        <w:ind w:left="720" w:hanging="720"/>
        <w:jc w:val="both"/>
        <w:rPr>
          <w:rFonts w:ascii="David" w:hAnsi="David"/>
          <w:rtl/>
        </w:rPr>
      </w:pPr>
    </w:p>
    <w:p w:rsidR="007D190C" w:rsidRPr="007D190C" w:rsidRDefault="00DE4D55" w:rsidP="007D190C">
      <w:pPr>
        <w:spacing w:line="360" w:lineRule="auto"/>
        <w:ind w:left="720" w:hanging="720"/>
        <w:jc w:val="both"/>
        <w:rPr>
          <w:rFonts w:ascii="David" w:hAnsi="David"/>
          <w:rtl/>
        </w:rPr>
      </w:pPr>
      <w:r w:rsidRPr="007D190C">
        <w:rPr>
          <w:rFonts w:ascii="David" w:hAnsi="David"/>
          <w:rtl/>
        </w:rPr>
        <w:t>20.</w:t>
      </w:r>
      <w:r w:rsidRPr="007D190C">
        <w:rPr>
          <w:rFonts w:ascii="David" w:hAnsi="David"/>
          <w:rtl/>
        </w:rPr>
        <w:tab/>
      </w:r>
      <w:r w:rsidRPr="007D190C">
        <w:rPr>
          <w:rFonts w:ascii="David" w:hAnsi="David"/>
          <w:shd w:val="clear" w:color="auto" w:fill="FFFFFF"/>
          <w:rtl/>
        </w:rPr>
        <w:t xml:space="preserve">המאשימה סברה שלאור חומרת העבירות וריבוי המעשים, האינטרס הציבורי מחייב את מאסרו של הנאשם; </w:t>
      </w:r>
    </w:p>
    <w:p w:rsidR="007D190C" w:rsidRPr="007D190C" w:rsidRDefault="00DE4D55" w:rsidP="007D190C">
      <w:pPr>
        <w:spacing w:line="360" w:lineRule="auto"/>
        <w:ind w:left="720"/>
        <w:contextualSpacing/>
        <w:jc w:val="both"/>
        <w:rPr>
          <w:rFonts w:ascii="David" w:hAnsi="David"/>
          <w:shd w:val="clear" w:color="auto" w:fill="FFFFFF"/>
          <w:rtl/>
        </w:rPr>
      </w:pPr>
      <w:r w:rsidRPr="007D190C">
        <w:rPr>
          <w:rFonts w:ascii="David" w:hAnsi="David"/>
          <w:shd w:val="clear" w:color="auto" w:fill="FFFFFF"/>
          <w:rtl/>
        </w:rPr>
        <w:t>דעתי היא אחרת – האינטרס הציבורי הוא דווקא לתקן הנאשם ולהפוך אותו לשומר חוק. אינטרס הציבור הוא בטיפול בנאשם-הקטין בתקווה שייצא לחופשי כאדם עם נורמות התנהגות נורמטי</w:t>
      </w:r>
      <w:r w:rsidRPr="007D190C">
        <w:rPr>
          <w:rFonts w:ascii="David" w:hAnsi="David"/>
          <w:shd w:val="clear" w:color="auto" w:fill="FFFFFF"/>
          <w:rtl/>
        </w:rPr>
        <w:t>ביות על מנת שלא יפגע, חלילה, פעם נוספת. ואם באמצעות הטיפול ושיקומו של הנאשם מנענו פגיעה בנערה או אישה נוספת – דיינו.</w:t>
      </w:r>
    </w:p>
    <w:p w:rsidR="007D190C" w:rsidRPr="007D190C" w:rsidRDefault="007D190C" w:rsidP="007D190C">
      <w:pPr>
        <w:spacing w:line="360" w:lineRule="auto"/>
        <w:ind w:left="720"/>
        <w:contextualSpacing/>
        <w:jc w:val="both"/>
        <w:rPr>
          <w:rFonts w:ascii="David" w:hAnsi="David"/>
          <w:shd w:val="clear" w:color="auto" w:fill="FFFFFF"/>
          <w:rtl/>
        </w:rPr>
      </w:pPr>
    </w:p>
    <w:p w:rsidR="007D190C" w:rsidRPr="007D190C" w:rsidRDefault="00DE4D55" w:rsidP="007D190C">
      <w:pPr>
        <w:spacing w:line="360" w:lineRule="auto"/>
        <w:ind w:left="720" w:hanging="720"/>
        <w:jc w:val="both"/>
        <w:rPr>
          <w:rFonts w:ascii="David" w:hAnsi="David"/>
          <w:shd w:val="clear" w:color="auto" w:fill="FFFFFF"/>
          <w:rtl/>
        </w:rPr>
      </w:pPr>
      <w:r w:rsidRPr="007D190C">
        <w:rPr>
          <w:rFonts w:ascii="David" w:hAnsi="David"/>
          <w:shd w:val="clear" w:color="auto" w:fill="FFFFFF"/>
          <w:rtl/>
        </w:rPr>
        <w:t>21.</w:t>
      </w:r>
      <w:r w:rsidRPr="007D190C">
        <w:rPr>
          <w:rFonts w:ascii="David" w:hAnsi="David"/>
          <w:shd w:val="clear" w:color="auto" w:fill="FFFFFF"/>
          <w:rtl/>
        </w:rPr>
        <w:tab/>
        <w:t xml:space="preserve">אינני מתעלם, וגם לא ניתן להתעלם מחומרתם הכוללת של המעשים וצבר האירועים המטריד, ועל </w:t>
      </w:r>
      <w:r w:rsidRPr="007D190C">
        <w:rPr>
          <w:rFonts w:ascii="David" w:hAnsi="David"/>
          <w:u w:val="single"/>
          <w:shd w:val="clear" w:color="auto" w:fill="FFFFFF"/>
          <w:rtl/>
        </w:rPr>
        <w:t xml:space="preserve">כן כאשר אנחנו מטילים על הנאשם שהייה במתקן סגור,  </w:t>
      </w:r>
      <w:r w:rsidRPr="007D190C">
        <w:rPr>
          <w:rFonts w:ascii="David" w:hAnsi="David"/>
          <w:b/>
          <w:bCs/>
          <w:u w:val="single"/>
          <w:shd w:val="clear" w:color="auto" w:fill="FFFFFF"/>
          <w:rtl/>
        </w:rPr>
        <w:t>לפרק הזמן המרבי עליו ניתן להורות</w:t>
      </w:r>
      <w:r w:rsidRPr="007D190C">
        <w:rPr>
          <w:rFonts w:ascii="David" w:hAnsi="David"/>
          <w:u w:val="single"/>
          <w:shd w:val="clear" w:color="auto" w:fill="FFFFFF"/>
          <w:rtl/>
        </w:rPr>
        <w:t>, כי אז אינטרס השיקום משתלב עם אלמנט הרתעה המתבקש, ובמידה לא מבוטלת משתלב גם עם שיקול הגמול</w:t>
      </w:r>
      <w:r w:rsidRPr="007D190C">
        <w:rPr>
          <w:rFonts w:ascii="David" w:hAnsi="David"/>
          <w:shd w:val="clear" w:color="auto" w:fill="FFFFFF"/>
          <w:rtl/>
        </w:rPr>
        <w:t xml:space="preserve">. </w:t>
      </w:r>
    </w:p>
    <w:p w:rsidR="007D190C" w:rsidRPr="007D190C" w:rsidRDefault="007D190C" w:rsidP="007D190C">
      <w:pPr>
        <w:spacing w:line="360" w:lineRule="auto"/>
        <w:ind w:left="720" w:hanging="720"/>
        <w:jc w:val="both"/>
        <w:rPr>
          <w:rFonts w:ascii="David" w:hAnsi="David"/>
          <w:shd w:val="clear" w:color="auto" w:fill="FFFFFF"/>
          <w:rtl/>
        </w:rPr>
      </w:pPr>
    </w:p>
    <w:p w:rsidR="007D190C" w:rsidRPr="007D190C" w:rsidRDefault="00DE4D55" w:rsidP="007D190C">
      <w:pPr>
        <w:spacing w:line="360" w:lineRule="auto"/>
        <w:ind w:left="720" w:hanging="720"/>
        <w:jc w:val="both"/>
        <w:rPr>
          <w:rFonts w:ascii="David" w:hAnsi="David"/>
          <w:color w:val="000000"/>
          <w:rtl/>
        </w:rPr>
      </w:pPr>
      <w:r w:rsidRPr="007D190C">
        <w:rPr>
          <w:rFonts w:ascii="David" w:hAnsi="David"/>
          <w:shd w:val="clear" w:color="auto" w:fill="FFFFFF"/>
          <w:rtl/>
        </w:rPr>
        <w:t>22.</w:t>
      </w:r>
      <w:r w:rsidRPr="007D190C">
        <w:rPr>
          <w:rFonts w:ascii="David" w:hAnsi="David"/>
          <w:shd w:val="clear" w:color="auto" w:fill="FFFFFF"/>
          <w:rtl/>
        </w:rPr>
        <w:tab/>
        <w:t xml:space="preserve">לעניין מאסר קטינים אמר השופט המנוח ח' כהן את הדברים הבאים </w:t>
      </w:r>
      <w:r w:rsidRPr="007D190C">
        <w:rPr>
          <w:rFonts w:ascii="David" w:hAnsi="David"/>
          <w:color w:val="000000"/>
          <w:rtl/>
        </w:rPr>
        <w:t>בע"פ 537/75</w:t>
      </w:r>
      <w:r w:rsidRPr="007D190C">
        <w:rPr>
          <w:rFonts w:ascii="David" w:hAnsi="David"/>
          <w:b/>
          <w:bCs/>
          <w:color w:val="000000"/>
          <w:rtl/>
        </w:rPr>
        <w:t xml:space="preserve"> פלוני נ' מדינת ישראל, פ"ד </w:t>
      </w:r>
      <w:r w:rsidRPr="007D190C">
        <w:rPr>
          <w:rFonts w:ascii="David" w:hAnsi="David"/>
          <w:color w:val="000000"/>
          <w:rtl/>
        </w:rPr>
        <w:t>ל(2) 51 (1976): "</w:t>
      </w:r>
      <w:r w:rsidRPr="007D190C">
        <w:rPr>
          <w:rFonts w:ascii="David" w:hAnsi="David"/>
          <w:b/>
          <w:bCs/>
          <w:color w:val="000000"/>
          <w:rtl/>
        </w:rPr>
        <w:t xml:space="preserve">כשלעצמי, עד </w:t>
      </w:r>
      <w:r w:rsidRPr="007D190C">
        <w:rPr>
          <w:rFonts w:ascii="David" w:hAnsi="David"/>
          <w:b/>
          <w:bCs/>
          <w:color w:val="000000"/>
          <w:rtl/>
        </w:rPr>
        <w:t>שאתן ידי לכליאת נער בן 15 אף בשל פשע חמור, צריך אני להשתכנע תחילה שכליאתו דרושה למען הגן על שלום הציבור, או - והוא הצד השני של אותה מטבע - שהיא דרושה כדי למנוע בעדו מלחזור ולפשוע</w:t>
      </w:r>
      <w:r w:rsidRPr="007D190C">
        <w:rPr>
          <w:rFonts w:ascii="David" w:hAnsi="David"/>
          <w:color w:val="000000"/>
          <w:rtl/>
        </w:rPr>
        <w:t xml:space="preserve">". </w:t>
      </w:r>
    </w:p>
    <w:p w:rsidR="007D190C" w:rsidRPr="007D190C" w:rsidRDefault="007D190C" w:rsidP="007D190C">
      <w:pPr>
        <w:spacing w:line="360" w:lineRule="auto"/>
        <w:jc w:val="both"/>
        <w:rPr>
          <w:rFonts w:ascii="David" w:hAnsi="David"/>
          <w:color w:val="000000"/>
          <w:rtl/>
        </w:rPr>
      </w:pPr>
    </w:p>
    <w:p w:rsidR="007D190C" w:rsidRPr="007D190C" w:rsidRDefault="00DE4D55" w:rsidP="007D190C">
      <w:pPr>
        <w:spacing w:line="360" w:lineRule="auto"/>
        <w:ind w:left="720" w:hanging="720"/>
        <w:jc w:val="both"/>
        <w:rPr>
          <w:rFonts w:ascii="David" w:hAnsi="David"/>
          <w:color w:val="000000"/>
          <w:rtl/>
        </w:rPr>
      </w:pPr>
      <w:r w:rsidRPr="007D190C">
        <w:rPr>
          <w:rFonts w:ascii="David" w:hAnsi="David"/>
          <w:color w:val="000000"/>
          <w:rtl/>
        </w:rPr>
        <w:t>23.</w:t>
      </w:r>
      <w:r w:rsidRPr="007D190C">
        <w:rPr>
          <w:rFonts w:ascii="David" w:hAnsi="David"/>
          <w:color w:val="000000"/>
          <w:rtl/>
        </w:rPr>
        <w:tab/>
        <w:t>כשאני מוצא שתחזיתם של כלל גורמי המקצוע,  מי שטיפולם אֻמָּנוּתָם, סבור</w:t>
      </w:r>
      <w:r w:rsidRPr="007D190C">
        <w:rPr>
          <w:rFonts w:ascii="David" w:hAnsi="David"/>
          <w:color w:val="000000"/>
          <w:rtl/>
        </w:rPr>
        <w:t>ים שיש ל</w:t>
      </w:r>
      <w:r w:rsidRPr="007D190C">
        <w:rPr>
          <w:rFonts w:ascii="David" w:hAnsi="David"/>
          <w:shd w:val="clear" w:color="auto" w:fill="FFFFFF"/>
          <w:rtl/>
        </w:rPr>
        <w:t xml:space="preserve">נאשם </w:t>
      </w:r>
      <w:r w:rsidRPr="007D190C">
        <w:rPr>
          <w:rFonts w:ascii="David" w:hAnsi="David"/>
          <w:color w:val="000000"/>
          <w:rtl/>
        </w:rPr>
        <w:t>אופק טיפולי-שיקומי הרי שלטעם זה, הנושא בחובו גם אלמנט שיקומי ומנגד אלמנט ציבורי, משקל של ממש בבית משפט לנוער, שאין להתעלם ממנו.</w:t>
      </w:r>
    </w:p>
    <w:p w:rsidR="007D190C" w:rsidRPr="007D190C" w:rsidRDefault="007D190C" w:rsidP="007D190C">
      <w:pPr>
        <w:spacing w:line="360" w:lineRule="auto"/>
        <w:jc w:val="both"/>
        <w:rPr>
          <w:rFonts w:ascii="David" w:eastAsia="Calibri" w:hAnsi="David"/>
          <w:u w:val="single"/>
          <w:shd w:val="clear" w:color="auto" w:fill="FFFFFF"/>
          <w:rtl/>
        </w:rPr>
      </w:pPr>
    </w:p>
    <w:p w:rsidR="007D190C" w:rsidRPr="007D190C" w:rsidRDefault="00DE4D55" w:rsidP="007D190C">
      <w:pPr>
        <w:spacing w:line="360" w:lineRule="auto"/>
        <w:ind w:left="720" w:hanging="720"/>
        <w:jc w:val="both"/>
        <w:rPr>
          <w:rFonts w:ascii="David" w:hAnsi="David"/>
          <w:color w:val="000000"/>
          <w:rtl/>
        </w:rPr>
      </w:pPr>
      <w:r w:rsidRPr="007D190C">
        <w:rPr>
          <w:rFonts w:ascii="David" w:eastAsia="Calibri" w:hAnsi="David"/>
          <w:shd w:val="clear" w:color="auto" w:fill="FFFFFF"/>
          <w:rtl/>
        </w:rPr>
        <w:t>24.</w:t>
      </w:r>
      <w:r w:rsidRPr="007D190C">
        <w:rPr>
          <w:rFonts w:ascii="David" w:eastAsia="Calibri" w:hAnsi="David"/>
          <w:shd w:val="clear" w:color="auto" w:fill="FFFFFF"/>
          <w:rtl/>
        </w:rPr>
        <w:tab/>
      </w:r>
      <w:r w:rsidRPr="007D190C">
        <w:rPr>
          <w:rFonts w:ascii="David" w:hAnsi="David"/>
          <w:u w:val="single"/>
          <w:shd w:val="clear" w:color="auto" w:fill="FFFFFF"/>
          <w:rtl/>
        </w:rPr>
        <w:t>בסיכומו של דבר</w:t>
      </w:r>
      <w:r w:rsidRPr="007D190C">
        <w:rPr>
          <w:rFonts w:ascii="David" w:hAnsi="David"/>
          <w:shd w:val="clear" w:color="auto" w:fill="FFFFFF"/>
          <w:rtl/>
        </w:rPr>
        <w:t xml:space="preserve">, בשבתנו כבית משפט לנוער, בו כללי הענישה שונים משמעותית מאלו של בגירים, אני סבור שהרחקת הנאשם </w:t>
      </w:r>
      <w:r w:rsidRPr="007D190C">
        <w:rPr>
          <w:rFonts w:ascii="David" w:hAnsi="David"/>
          <w:shd w:val="clear" w:color="auto" w:fill="FFFFFF"/>
          <w:rtl/>
        </w:rPr>
        <w:t xml:space="preserve">מהחברה למתקן סגור (מעון נעול) לפרק הזמן  המרבי </w:t>
      </w:r>
      <w:r w:rsidRPr="007D190C">
        <w:rPr>
          <w:rFonts w:ascii="David" w:hAnsi="David"/>
          <w:shd w:val="clear" w:color="auto" w:fill="FFFFFF"/>
          <w:rtl/>
        </w:rPr>
        <w:lastRenderedPageBreak/>
        <w:t>האפשרי בדין (עד לגיל 21), כשחירותו בכל התקופה מוגבלת, כשהוא אינו  חופשי לעשות כרצונו במהלכה, כשהוא מפוקח ואף נדרש לעבור הליך של טיפול ושיקום שיהיה בהם כדי לתקן את דפוסי התנהגותו הרעים. כי אז, אינטרס השיקום משת</w:t>
      </w:r>
      <w:r w:rsidRPr="007D190C">
        <w:rPr>
          <w:rFonts w:ascii="David" w:hAnsi="David"/>
          <w:shd w:val="clear" w:color="auto" w:fill="FFFFFF"/>
          <w:rtl/>
        </w:rPr>
        <w:t>לב עם אלמנט הרתעה המתבקש ובמידה לא מבוטלת משתלב גם עם שיקול הגמול.</w:t>
      </w:r>
    </w:p>
    <w:p w:rsidR="007D190C" w:rsidRPr="007D190C" w:rsidRDefault="00DE4D55" w:rsidP="007D190C">
      <w:pPr>
        <w:spacing w:line="360" w:lineRule="auto"/>
        <w:ind w:left="720"/>
        <w:contextualSpacing/>
        <w:jc w:val="both"/>
        <w:rPr>
          <w:rFonts w:ascii="David" w:hAnsi="David"/>
          <w:color w:val="000000"/>
          <w:rtl/>
        </w:rPr>
      </w:pPr>
      <w:r w:rsidRPr="007D190C">
        <w:rPr>
          <w:rFonts w:ascii="David" w:hAnsi="David"/>
          <w:shd w:val="clear" w:color="auto" w:fill="FFFFFF"/>
          <w:rtl/>
        </w:rPr>
        <w:t>על כן, ולאור המפורט לעיל, אני מצטרף לתוצאה אליה הגיעה השופטת ג' רביד על כלל רכיבי הענישה שבה.</w:t>
      </w:r>
    </w:p>
    <w:p w:rsidR="007D190C" w:rsidRPr="007D190C" w:rsidRDefault="007D190C" w:rsidP="007D190C">
      <w:pPr>
        <w:spacing w:line="360" w:lineRule="auto"/>
        <w:jc w:val="both"/>
        <w:rPr>
          <w:rFonts w:ascii="David" w:eastAsia="Calibri" w:hAnsi="David"/>
          <w:shd w:val="clear" w:color="auto" w:fill="FFFFFF"/>
        </w:rPr>
      </w:pPr>
    </w:p>
    <w:p w:rsidR="007D190C" w:rsidRPr="007D190C" w:rsidRDefault="00DE4D55" w:rsidP="007D190C">
      <w:pPr>
        <w:spacing w:line="360" w:lineRule="auto"/>
        <w:ind w:left="360" w:firstLine="360"/>
        <w:jc w:val="both"/>
        <w:rPr>
          <w:rFonts w:ascii="David" w:hAnsi="David"/>
          <w:b/>
          <w:bCs/>
          <w:u w:val="single"/>
          <w:shd w:val="clear" w:color="auto" w:fill="FFFFFF"/>
          <w:rtl/>
        </w:rPr>
      </w:pPr>
      <w:r w:rsidRPr="007D190C">
        <w:rPr>
          <w:rFonts w:ascii="David" w:hAnsi="David"/>
          <w:b/>
          <w:bCs/>
          <w:u w:val="single"/>
          <w:shd w:val="clear" w:color="auto" w:fill="FFFFFF"/>
          <w:rtl/>
        </w:rPr>
        <w:t>הערות סיום</w:t>
      </w:r>
    </w:p>
    <w:p w:rsidR="007D190C" w:rsidRPr="007D190C" w:rsidRDefault="007D190C" w:rsidP="007D190C">
      <w:pPr>
        <w:spacing w:line="360" w:lineRule="auto"/>
        <w:ind w:left="360" w:firstLine="360"/>
        <w:jc w:val="both"/>
        <w:rPr>
          <w:rFonts w:ascii="David" w:hAnsi="David"/>
          <w:b/>
          <w:bCs/>
          <w:u w:val="single"/>
          <w:shd w:val="clear" w:color="auto" w:fill="FFFFFF"/>
          <w:rtl/>
        </w:rPr>
      </w:pPr>
    </w:p>
    <w:p w:rsidR="00704813" w:rsidRDefault="00DE4D55" w:rsidP="00704813">
      <w:pPr>
        <w:spacing w:line="360" w:lineRule="auto"/>
        <w:jc w:val="both"/>
        <w:rPr>
          <w:rFonts w:cs="Times New Roman"/>
        </w:rPr>
      </w:pPr>
      <w:r w:rsidRPr="007D190C">
        <w:rPr>
          <w:rFonts w:ascii="David" w:hAnsi="David"/>
          <w:shd w:val="clear" w:color="auto" w:fill="FFFFFF"/>
          <w:rtl/>
        </w:rPr>
        <w:t>25.</w:t>
      </w:r>
      <w:r w:rsidRPr="007D190C">
        <w:rPr>
          <w:rFonts w:ascii="David" w:hAnsi="David"/>
          <w:shd w:val="clear" w:color="auto" w:fill="FFFFFF"/>
          <w:rtl/>
        </w:rPr>
        <w:tab/>
      </w:r>
      <w:r>
        <w:rPr>
          <w:rtl/>
        </w:rPr>
        <w:t>מלאכתי לא תהא שלמה אם לא אעיר את הדברים הבאים:</w:t>
      </w:r>
    </w:p>
    <w:p w:rsidR="00704813" w:rsidRDefault="00DE4D55" w:rsidP="00704813">
      <w:pPr>
        <w:spacing w:line="360" w:lineRule="auto"/>
        <w:ind w:left="720"/>
        <w:jc w:val="both"/>
      </w:pPr>
      <w:r>
        <w:rPr>
          <w:rtl/>
        </w:rPr>
        <w:t>ציר הזמן של האישומים השונים מלמ</w:t>
      </w:r>
      <w:r>
        <w:rPr>
          <w:rtl/>
        </w:rPr>
        <w:t>ד על הסלמה בהתנהגותו של הנאשם ובמעשיו: מנגיעות אסורות לאונס של ממש: "עוֹבֵר-חוֹטֵף-קוֹטֵף-קוֹלֵעַ לוֹ זֵר" כמילותיה של המשוררת נעמי שמר בשירה͏͏͏ "הוואלס להגנת הצומח".</w:t>
      </w:r>
    </w:p>
    <w:p w:rsidR="00704813" w:rsidRDefault="00DE4D55" w:rsidP="00704813">
      <w:pPr>
        <w:spacing w:line="360" w:lineRule="auto"/>
        <w:ind w:left="720"/>
        <w:jc w:val="both"/>
        <w:rPr>
          <w:rtl/>
        </w:rPr>
      </w:pPr>
      <w:r>
        <w:rPr>
          <w:rtl/>
        </w:rPr>
        <w:t>מושכלות ראשונים יש להזכיר: לא נוגעים. לא לוקחים. לא קוטפים. קודם שואלים, ומקבלים רשות. כך</w:t>
      </w:r>
      <w:r>
        <w:rPr>
          <w:rtl/>
        </w:rPr>
        <w:t xml:space="preserve"> מכבדים.</w:t>
      </w:r>
    </w:p>
    <w:p w:rsidR="00704813" w:rsidRDefault="00DE4D55" w:rsidP="00704813">
      <w:pPr>
        <w:spacing w:line="360" w:lineRule="auto"/>
        <w:ind w:left="720"/>
        <w:jc w:val="both"/>
        <w:rPr>
          <w:rtl/>
        </w:rPr>
      </w:pPr>
      <w:r>
        <w:rPr>
          <w:rtl/>
        </w:rPr>
        <w:t>קבלת הרשות איננה רק דרישת הדין, אלא היא גם ביטוי לכבוד לאחר ולאוטונומיה שלו או שלה על גופם, ביטוי שנעדר ממעשיו של הנאשם.</w:t>
      </w:r>
    </w:p>
    <w:p w:rsidR="00704813" w:rsidRDefault="00704813" w:rsidP="00704813">
      <w:pPr>
        <w:bidi w:val="0"/>
        <w:spacing w:line="360" w:lineRule="auto"/>
        <w:jc w:val="both"/>
        <w:rPr>
          <w:rtl/>
        </w:rPr>
      </w:pPr>
    </w:p>
    <w:p w:rsidR="00704813" w:rsidRDefault="00DE4D55" w:rsidP="00704813">
      <w:pPr>
        <w:spacing w:line="360" w:lineRule="auto"/>
        <w:ind w:left="720"/>
        <w:jc w:val="both"/>
        <w:rPr>
          <w:rtl/>
        </w:rPr>
      </w:pPr>
      <w:r>
        <w:rPr>
          <w:rtl/>
        </w:rPr>
        <w:t xml:space="preserve">אטימותו של הנאשם בהתנהגותו כלפי צרכי הנפגעות ורצונותיהן בעת ביצוע מעשיו החמורים, מלמדת על העדרם של כלים להתנהגות ביחסים שבין </w:t>
      </w:r>
      <w:r>
        <w:rPr>
          <w:rtl/>
        </w:rPr>
        <w:t>המינים או בזוגיות בכלל, והדבר מחייב הרהור חֶבְרָתִי בשאלה כיצד קרה הדבר;</w:t>
      </w:r>
    </w:p>
    <w:p w:rsidR="00704813" w:rsidRDefault="00DE4D55" w:rsidP="00704813">
      <w:pPr>
        <w:spacing w:line="360" w:lineRule="auto"/>
        <w:ind w:left="720"/>
        <w:jc w:val="both"/>
      </w:pPr>
      <w:r>
        <w:rPr>
          <w:rtl/>
        </w:rPr>
        <w:t>אירועים כפי שהתבררו לפנינו, שלדאבון הלב, אינם בודדים, מחייבים מאמצים  חינוכיים-חברתיים כדי שיהיו נחלת ההסטוריה.</w:t>
      </w:r>
    </w:p>
    <w:p w:rsidR="007D190C" w:rsidRPr="00704813" w:rsidRDefault="007D190C" w:rsidP="00704813">
      <w:pPr>
        <w:spacing w:line="360" w:lineRule="auto"/>
        <w:jc w:val="both"/>
        <w:rPr>
          <w:rFonts w:ascii="David" w:hAnsi="David"/>
          <w:shd w:val="clear" w:color="auto" w:fill="FFFFFF"/>
          <w:rtl/>
        </w:rPr>
      </w:pPr>
    </w:p>
    <w:p w:rsidR="007D190C" w:rsidRPr="007D190C" w:rsidRDefault="00DE4D55" w:rsidP="007D190C">
      <w:pPr>
        <w:spacing w:line="360" w:lineRule="auto"/>
        <w:ind w:left="720" w:hanging="720"/>
        <w:jc w:val="both"/>
        <w:rPr>
          <w:rFonts w:ascii="David" w:hAnsi="David"/>
          <w:shd w:val="clear" w:color="auto" w:fill="FFFFFF"/>
          <w:rtl/>
        </w:rPr>
      </w:pPr>
      <w:r w:rsidRPr="007D190C">
        <w:rPr>
          <w:rFonts w:ascii="David" w:hAnsi="David"/>
          <w:shd w:val="clear" w:color="auto" w:fill="FFFFFF"/>
          <w:rtl/>
        </w:rPr>
        <w:t>26.</w:t>
      </w:r>
      <w:r w:rsidRPr="007D190C">
        <w:rPr>
          <w:rFonts w:ascii="David" w:hAnsi="David"/>
          <w:shd w:val="clear" w:color="auto" w:fill="FFFFFF"/>
          <w:rtl/>
        </w:rPr>
        <w:tab/>
      </w:r>
      <w:r w:rsidRPr="007D190C">
        <w:rPr>
          <w:rFonts w:ascii="David" w:hAnsi="David"/>
          <w:shd w:val="clear" w:color="auto" w:fill="FFFFFF"/>
          <w:rtl/>
        </w:rPr>
        <w:t xml:space="preserve">החובה למנוע מקרים דומים, מוטלת על כתפי ההורים, על כתפי מערכת החינוך ולמעשה על הקהילה כולה. על כולנו לפעול למניעת מקרים דומים על ידי חינוך והטמעה של ערכי כבוד האדם, התחשבות באחר, שמירה על גופו של הזולת ופרטיותו, דחיית סיפוקים ושמירה על החוק. </w:t>
      </w:r>
      <w:r w:rsidRPr="007D190C">
        <w:rPr>
          <w:rFonts w:ascii="David" w:hAnsi="David"/>
          <w:rtl/>
        </w:rPr>
        <w:t>בנפש ילדותינו ו</w:t>
      </w:r>
      <w:r w:rsidRPr="007D190C">
        <w:rPr>
          <w:rFonts w:ascii="David" w:hAnsi="David"/>
          <w:rtl/>
        </w:rPr>
        <w:t>ילדינו היא.</w:t>
      </w: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ind w:left="360" w:firstLine="360"/>
        <w:jc w:val="both"/>
        <w:rPr>
          <w:rFonts w:ascii="David" w:hAnsi="David"/>
          <w:rtl/>
        </w:rPr>
      </w:pPr>
      <w:r w:rsidRPr="007D190C">
        <w:rPr>
          <w:rFonts w:ascii="David" w:hAnsi="David"/>
          <w:b/>
          <w:bCs/>
          <w:rtl/>
        </w:rPr>
        <w:t>וטרם חתימה, אני מבקש לומר לכן, הנפגעות, מספר מילים</w:t>
      </w:r>
      <w:r w:rsidRPr="007D190C">
        <w:rPr>
          <w:rFonts w:ascii="David" w:hAnsi="David"/>
          <w:rtl/>
        </w:rPr>
        <w:t xml:space="preserve">: </w:t>
      </w:r>
    </w:p>
    <w:p w:rsidR="007D190C" w:rsidRPr="007D190C" w:rsidRDefault="00DE4D55" w:rsidP="007D190C">
      <w:pPr>
        <w:spacing w:line="360" w:lineRule="auto"/>
        <w:ind w:left="720"/>
        <w:contextualSpacing/>
        <w:jc w:val="both"/>
        <w:rPr>
          <w:rFonts w:ascii="David" w:hAnsi="David"/>
          <w:rtl/>
        </w:rPr>
      </w:pPr>
      <w:r w:rsidRPr="007D190C">
        <w:rPr>
          <w:rFonts w:ascii="David" w:hAnsi="David"/>
          <w:rtl/>
        </w:rPr>
        <w:t xml:space="preserve">ראיתי אתכן. הקשבתי לכן ולדבריכן הכואבים. קראתי את הדברים הקשים שכתבתן מדם לבכן. האמנתי לכן ולמצוקה ששידרתן. </w:t>
      </w:r>
    </w:p>
    <w:p w:rsidR="007D190C" w:rsidRPr="007D190C" w:rsidRDefault="00DE4D55" w:rsidP="007D190C">
      <w:pPr>
        <w:spacing w:line="360" w:lineRule="auto"/>
        <w:ind w:left="720"/>
        <w:contextualSpacing/>
        <w:jc w:val="both"/>
        <w:rPr>
          <w:rFonts w:ascii="David" w:hAnsi="David"/>
          <w:rtl/>
        </w:rPr>
      </w:pPr>
      <w:r w:rsidRPr="007D190C">
        <w:rPr>
          <w:rFonts w:ascii="David" w:hAnsi="David"/>
          <w:rtl/>
        </w:rPr>
        <w:t>מעבר לפגיעתו של הפוגע אתן נאלצות להתמודד עם היומיום המורכב ואף עם סביבה שלא מכירה</w:t>
      </w:r>
      <w:r w:rsidRPr="007D190C">
        <w:rPr>
          <w:rFonts w:ascii="David" w:hAnsi="David"/>
          <w:rtl/>
        </w:rPr>
        <w:t xml:space="preserve"> את העובדות ושמעלילה עלילות. </w:t>
      </w:r>
    </w:p>
    <w:p w:rsidR="007D190C" w:rsidRPr="007D190C" w:rsidRDefault="00DE4D55" w:rsidP="007D190C">
      <w:pPr>
        <w:spacing w:line="360" w:lineRule="auto"/>
        <w:ind w:left="360" w:firstLine="360"/>
        <w:contextualSpacing/>
        <w:jc w:val="both"/>
        <w:rPr>
          <w:rFonts w:ascii="David" w:hAnsi="David"/>
        </w:rPr>
      </w:pPr>
      <w:r w:rsidRPr="007D190C">
        <w:rPr>
          <w:rFonts w:ascii="David" w:hAnsi="David"/>
          <w:rtl/>
        </w:rPr>
        <w:lastRenderedPageBreak/>
        <w:t xml:space="preserve">אתן הנפגעות, הוא הפוגע. זו האמת. </w:t>
      </w:r>
    </w:p>
    <w:p w:rsidR="007D190C" w:rsidRPr="007D190C" w:rsidRDefault="00DE4D55" w:rsidP="007D190C">
      <w:pPr>
        <w:spacing w:line="360" w:lineRule="auto"/>
        <w:ind w:left="360" w:firstLine="360"/>
        <w:contextualSpacing/>
        <w:jc w:val="both"/>
        <w:rPr>
          <w:rFonts w:ascii="David" w:hAnsi="David"/>
          <w:rtl/>
        </w:rPr>
      </w:pPr>
      <w:r w:rsidRPr="007D190C">
        <w:rPr>
          <w:rFonts w:ascii="David" w:hAnsi="David"/>
          <w:rtl/>
        </w:rPr>
        <w:t>אין בכן כל אשמה. גיליתן כוחות נפש, אומץ רב, באתן, עמדתן ודיברתן.</w:t>
      </w:r>
    </w:p>
    <w:p w:rsidR="007D190C" w:rsidRPr="007D190C" w:rsidRDefault="00DE4D55" w:rsidP="007D190C">
      <w:pPr>
        <w:spacing w:line="360" w:lineRule="auto"/>
        <w:ind w:left="360" w:firstLine="360"/>
        <w:contextualSpacing/>
        <w:jc w:val="both"/>
        <w:rPr>
          <w:rFonts w:ascii="David" w:hAnsi="David"/>
          <w:rtl/>
        </w:rPr>
      </w:pPr>
      <w:r w:rsidRPr="007D190C">
        <w:rPr>
          <w:rFonts w:ascii="David" w:hAnsi="David"/>
          <w:rtl/>
        </w:rPr>
        <w:t xml:space="preserve">תקוותי היא שהזמן יביא לכן הקלה ויעלה בידכן להמשיך הלאה.  </w:t>
      </w:r>
    </w:p>
    <w:p w:rsidR="007D190C" w:rsidRPr="007D190C" w:rsidRDefault="00DE4D55" w:rsidP="007D190C">
      <w:pPr>
        <w:spacing w:line="360" w:lineRule="auto"/>
        <w:ind w:left="720"/>
        <w:contextualSpacing/>
        <w:jc w:val="both"/>
        <w:rPr>
          <w:rFonts w:ascii="David" w:hAnsi="David"/>
          <w:rtl/>
        </w:rPr>
      </w:pPr>
      <w:r w:rsidRPr="007D190C">
        <w:rPr>
          <w:rFonts w:ascii="David" w:hAnsi="David"/>
          <w:rtl/>
        </w:rPr>
        <w:t xml:space="preserve">את דינו של הפוגע גזרנו </w:t>
      </w:r>
      <w:r w:rsidRPr="007D190C">
        <w:rPr>
          <w:rFonts w:ascii="David" w:hAnsi="David"/>
          <w:shd w:val="clear" w:color="auto" w:fill="FFFFFF"/>
          <w:rtl/>
        </w:rPr>
        <w:t>לאחר בחינה, מחשבה מעמיקה והתלבטות אמיתית, לאחר</w:t>
      </w:r>
      <w:r w:rsidRPr="007D190C">
        <w:rPr>
          <w:rFonts w:ascii="David" w:hAnsi="David"/>
          <w:shd w:val="clear" w:color="auto" w:fill="FFFFFF"/>
          <w:rtl/>
        </w:rPr>
        <w:t xml:space="preserve"> הפעלת שיקול דעת ועל פי מיטב שיפוטינו ומצפוננו המקצועי. זו חובתנו כלפיכן, כלפי הנאשם וכלפי הציבור כולו. </w:t>
      </w:r>
    </w:p>
    <w:p w:rsidR="007D190C" w:rsidRPr="007D190C" w:rsidRDefault="007D190C" w:rsidP="007D190C">
      <w:pPr>
        <w:spacing w:line="360" w:lineRule="auto"/>
        <w:jc w:val="both"/>
        <w:rPr>
          <w:rFonts w:ascii="David" w:hAnsi="David"/>
        </w:rPr>
      </w:pPr>
    </w:p>
    <w:tbl>
      <w:tblPr>
        <w:tblStyle w:val="10"/>
        <w:tblpPr w:leftFromText="180" w:rightFromText="180" w:vertAnchor="page" w:horzAnchor="margin" w:tblpY="5258"/>
        <w:bidiVisual/>
        <w:tblW w:w="27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72"/>
      </w:tblGrid>
      <w:tr w:rsidR="004B4EFA" w:rsidTr="006E06AC">
        <w:trPr>
          <w:trHeight w:val="1099"/>
        </w:trPr>
        <w:tc>
          <w:tcPr>
            <w:tcW w:w="2772" w:type="dxa"/>
            <w:vAlign w:val="center"/>
            <w:hideMark/>
          </w:tcPr>
          <w:sdt>
            <w:sdtPr>
              <w:rPr>
                <w:rtl/>
              </w:rPr>
              <w:alias w:val="MergeField"/>
              <w:tag w:val="2251"/>
              <w:id w:val="856625394"/>
            </w:sdtPr>
            <w:sdtEndPr/>
            <w:sdtContent>
              <w:p w:rsidR="006E06AC" w:rsidRPr="007D190C" w:rsidRDefault="00DE4D55" w:rsidP="006E06AC">
                <w:pPr>
                  <w:jc w:val="center"/>
                  <w:rPr>
                    <w:rtl/>
                  </w:rPr>
                </w:pPr>
                <w:r w:rsidRPr="007D190C">
                  <w:rPr>
                    <w:noProof/>
                    <w:rtl/>
                  </w:rPr>
                  <w:drawing>
                    <wp:anchor distT="0" distB="0" distL="114300" distR="114300" simplePos="0" relativeHeight="251660288" behindDoc="0" locked="0" layoutInCell="1" allowOverlap="1">
                      <wp:simplePos x="0" y="0"/>
                      <wp:positionH relativeFrom="column">
                        <wp:posOffset>518795</wp:posOffset>
                      </wp:positionH>
                      <wp:positionV relativeFrom="paragraph">
                        <wp:posOffset>17780</wp:posOffset>
                      </wp:positionV>
                      <wp:extent cx="647700" cy="695325"/>
                      <wp:effectExtent l="0" t="0" r="0" b="9525"/>
                      <wp:wrapNone/>
                      <wp:docPr id="12"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תמונה 7"/>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647700" cy="695325"/>
                              </a:xfrm>
                              <a:prstGeom prst="rect">
                                <a:avLst/>
                              </a:prstGeom>
                              <a:noFill/>
                            </pic:spPr>
                          </pic:pic>
                        </a:graphicData>
                      </a:graphic>
                      <wp14:sizeRelH relativeFrom="page">
                        <wp14:pctWidth>0</wp14:pctWidth>
                      </wp14:sizeRelH>
                      <wp14:sizeRelV relativeFrom="page">
                        <wp14:pctHeight>0</wp14:pctHeight>
                      </wp14:sizeRelV>
                    </wp:anchor>
                  </w:drawing>
                </w:r>
              </w:p>
            </w:sdtContent>
          </w:sdt>
        </w:tc>
      </w:tr>
      <w:tr w:rsidR="004B4EFA" w:rsidTr="006E06AC">
        <w:trPr>
          <w:trHeight w:val="415"/>
        </w:trPr>
        <w:tc>
          <w:tcPr>
            <w:tcW w:w="2772" w:type="dxa"/>
            <w:vAlign w:val="center"/>
            <w:hideMark/>
          </w:tcPr>
          <w:p w:rsidR="006E06AC" w:rsidRPr="007D190C" w:rsidRDefault="00DE4D55" w:rsidP="006E06AC">
            <w:pPr>
              <w:spacing w:line="360" w:lineRule="auto"/>
              <w:jc w:val="center"/>
              <w:rPr>
                <w:rFonts w:ascii="David" w:hAnsi="David"/>
                <w:b/>
                <w:bCs/>
                <w:rtl/>
              </w:rPr>
            </w:pPr>
            <w:sdt>
              <w:sdtPr>
                <w:rPr>
                  <w:b/>
                  <w:bCs/>
                  <w:rtl/>
                </w:rPr>
                <w:alias w:val="2236"/>
                <w:tag w:val="2236"/>
                <w:id w:val="639300144"/>
              </w:sdtPr>
              <w:sdtEndPr/>
              <w:sdtContent>
                <w:r w:rsidRPr="007D190C">
                  <w:rPr>
                    <w:rFonts w:ascii="David" w:hAnsi="David"/>
                    <w:b/>
                    <w:bCs/>
                    <w:rtl/>
                  </w:rPr>
                  <w:t>עודד</w:t>
                </w:r>
              </w:sdtContent>
            </w:sdt>
            <w:r w:rsidRPr="007D190C">
              <w:rPr>
                <w:b/>
                <w:bCs/>
                <w:rtl/>
              </w:rPr>
              <w:t xml:space="preserve"> </w:t>
            </w:r>
            <w:sdt>
              <w:sdtPr>
                <w:rPr>
                  <w:b/>
                  <w:bCs/>
                  <w:rtl/>
                </w:rPr>
                <w:alias w:val="2241"/>
                <w:tag w:val="2241"/>
                <w:id w:val="-2097088705"/>
              </w:sdtPr>
              <w:sdtEndPr/>
              <w:sdtContent>
                <w:r w:rsidRPr="007D190C">
                  <w:rPr>
                    <w:b/>
                    <w:bCs/>
                    <w:rtl/>
                  </w:rPr>
                  <w:t>מאור</w:t>
                </w:r>
              </w:sdtContent>
            </w:sdt>
            <w:r w:rsidRPr="007D190C">
              <w:rPr>
                <w:b/>
                <w:bCs/>
                <w:rtl/>
              </w:rPr>
              <w:t xml:space="preserve">, </w:t>
            </w:r>
            <w:sdt>
              <w:sdtPr>
                <w:rPr>
                  <w:b/>
                  <w:bCs/>
                  <w:rtl/>
                </w:rPr>
                <w:alias w:val="2246"/>
                <w:tag w:val="2246"/>
                <w:id w:val="-1989393221"/>
              </w:sdtPr>
              <w:sdtEndPr/>
              <w:sdtContent>
                <w:r w:rsidRPr="007D190C">
                  <w:rPr>
                    <w:b/>
                    <w:bCs/>
                    <w:rtl/>
                  </w:rPr>
                  <w:t>שופט</w:t>
                </w:r>
              </w:sdtContent>
            </w:sdt>
          </w:p>
        </w:tc>
      </w:tr>
      <w:tr w:rsidR="004B4EFA" w:rsidTr="006E06AC">
        <w:trPr>
          <w:trHeight w:val="356"/>
        </w:trPr>
        <w:tc>
          <w:tcPr>
            <w:tcW w:w="2772" w:type="dxa"/>
            <w:vAlign w:val="center"/>
          </w:tcPr>
          <w:p w:rsidR="006E06AC" w:rsidRPr="007D190C" w:rsidRDefault="006E06AC" w:rsidP="006E06AC">
            <w:pPr>
              <w:spacing w:line="360" w:lineRule="auto"/>
              <w:jc w:val="center"/>
              <w:rPr>
                <w:rFonts w:ascii="David" w:hAnsi="David"/>
                <w:b/>
                <w:bCs/>
                <w:rtl/>
              </w:rPr>
            </w:pPr>
          </w:p>
        </w:tc>
      </w:tr>
    </w:tbl>
    <w:p w:rsidR="007D190C" w:rsidRPr="007D190C" w:rsidRDefault="007D190C" w:rsidP="007D190C">
      <w:pPr>
        <w:spacing w:line="360" w:lineRule="auto"/>
        <w:jc w:val="both"/>
        <w:rPr>
          <w:rFonts w:ascii="David" w:hAnsi="David"/>
          <w:rtl/>
        </w:rPr>
      </w:pPr>
    </w:p>
    <w:p w:rsidR="007D190C" w:rsidRPr="007D190C" w:rsidRDefault="007D190C" w:rsidP="007D190C">
      <w:pPr>
        <w:spacing w:line="360" w:lineRule="auto"/>
        <w:jc w:val="both"/>
        <w:rPr>
          <w:rFonts w:ascii="David" w:hAnsi="David"/>
          <w:rtl/>
        </w:rPr>
      </w:pPr>
    </w:p>
    <w:p w:rsidR="007D190C" w:rsidRPr="007D190C" w:rsidRDefault="007D190C" w:rsidP="007D190C">
      <w:pPr>
        <w:spacing w:line="360" w:lineRule="auto"/>
        <w:jc w:val="both"/>
        <w:rPr>
          <w:rFonts w:ascii="David" w:hAnsi="David"/>
          <w:rtl/>
        </w:rPr>
      </w:pPr>
    </w:p>
    <w:p w:rsidR="007D190C" w:rsidRPr="007D190C" w:rsidRDefault="007D190C" w:rsidP="007D190C">
      <w:pPr>
        <w:spacing w:line="360" w:lineRule="auto"/>
        <w:jc w:val="both"/>
        <w:rPr>
          <w:rFonts w:ascii="David" w:hAnsi="David"/>
          <w:rtl/>
        </w:rPr>
      </w:pPr>
    </w:p>
    <w:p w:rsidR="007D190C" w:rsidRDefault="007D190C" w:rsidP="007D190C">
      <w:pPr>
        <w:spacing w:line="360" w:lineRule="auto"/>
        <w:jc w:val="both"/>
        <w:rPr>
          <w:rFonts w:ascii="David" w:hAnsi="David"/>
          <w:u w:val="single"/>
          <w:rtl/>
        </w:rPr>
      </w:pPr>
    </w:p>
    <w:p w:rsidR="006E06AC" w:rsidRDefault="006E06AC" w:rsidP="007D190C">
      <w:pPr>
        <w:spacing w:line="360" w:lineRule="auto"/>
        <w:jc w:val="both"/>
        <w:rPr>
          <w:rFonts w:ascii="David" w:hAnsi="David"/>
          <w:u w:val="single"/>
          <w:rtl/>
        </w:rPr>
      </w:pPr>
    </w:p>
    <w:p w:rsidR="006E06AC" w:rsidRDefault="006E06AC" w:rsidP="007D190C">
      <w:pPr>
        <w:spacing w:line="360" w:lineRule="auto"/>
        <w:jc w:val="both"/>
        <w:rPr>
          <w:rFonts w:ascii="David" w:hAnsi="David"/>
          <w:u w:val="single"/>
          <w:rtl/>
        </w:rPr>
      </w:pPr>
    </w:p>
    <w:p w:rsidR="00125A1A" w:rsidRDefault="00125A1A" w:rsidP="007D190C">
      <w:pPr>
        <w:spacing w:line="360" w:lineRule="auto"/>
        <w:jc w:val="both"/>
        <w:rPr>
          <w:rFonts w:ascii="David" w:hAnsi="David"/>
          <w:u w:val="single"/>
          <w:rtl/>
        </w:rPr>
      </w:pPr>
    </w:p>
    <w:p w:rsidR="00125A1A" w:rsidRPr="007D190C" w:rsidRDefault="00125A1A" w:rsidP="007D190C">
      <w:pPr>
        <w:spacing w:line="360" w:lineRule="auto"/>
        <w:jc w:val="both"/>
        <w:rPr>
          <w:rFonts w:ascii="David" w:hAnsi="David"/>
          <w:u w:val="single"/>
          <w:rtl/>
        </w:rPr>
      </w:pPr>
    </w:p>
    <w:p w:rsidR="007D190C" w:rsidRPr="007D190C" w:rsidRDefault="00DE4D55" w:rsidP="007D190C">
      <w:pPr>
        <w:spacing w:line="360" w:lineRule="auto"/>
        <w:jc w:val="both"/>
        <w:rPr>
          <w:rFonts w:ascii="David" w:hAnsi="David"/>
          <w:u w:val="single"/>
          <w:rtl/>
        </w:rPr>
      </w:pPr>
      <w:r w:rsidRPr="007D190C">
        <w:rPr>
          <w:rFonts w:ascii="David" w:hAnsi="David"/>
          <w:u w:val="single"/>
          <w:rtl/>
        </w:rPr>
        <w:t>השופט שמואל מלמד:</w:t>
      </w:r>
    </w:p>
    <w:p w:rsidR="007D190C" w:rsidRPr="007D190C" w:rsidRDefault="007D190C" w:rsidP="007D190C">
      <w:pPr>
        <w:spacing w:after="160" w:line="360" w:lineRule="auto"/>
        <w:ind w:left="720"/>
        <w:contextualSpacing/>
        <w:jc w:val="both"/>
        <w:rPr>
          <w:rFonts w:ascii="David" w:eastAsia="Calibri" w:hAnsi="David"/>
          <w:rtl/>
        </w:rPr>
      </w:pPr>
    </w:p>
    <w:p w:rsidR="007D190C" w:rsidRPr="007D190C" w:rsidRDefault="00DE4D55" w:rsidP="007D190C">
      <w:pPr>
        <w:spacing w:line="360" w:lineRule="auto"/>
        <w:jc w:val="both"/>
        <w:rPr>
          <w:rFonts w:ascii="David" w:eastAsia="Calibri" w:hAnsi="David"/>
          <w:rtl/>
        </w:rPr>
      </w:pPr>
      <w:r w:rsidRPr="007D190C">
        <w:rPr>
          <w:rFonts w:ascii="David" w:eastAsia="Calibri" w:hAnsi="David"/>
          <w:rtl/>
        </w:rPr>
        <w:t>1.</w:t>
      </w:r>
      <w:r w:rsidRPr="007D190C">
        <w:rPr>
          <w:rFonts w:ascii="David" w:eastAsia="Calibri" w:hAnsi="David"/>
          <w:rtl/>
        </w:rPr>
        <w:tab/>
        <w:t xml:space="preserve">לאחר עיון בגזר הדין שכתבה חברתי אב"ד השופטת רביד לצערי איני יכול להצטרף למסקנה. </w:t>
      </w:r>
      <w:r w:rsidRPr="007D190C">
        <w:rPr>
          <w:rFonts w:ascii="David" w:eastAsia="Calibri" w:hAnsi="David"/>
          <w:rtl/>
        </w:rPr>
        <w:tab/>
      </w:r>
      <w:r w:rsidRPr="007D190C">
        <w:rPr>
          <w:rFonts w:ascii="David" w:eastAsia="Calibri" w:hAnsi="David"/>
          <w:rtl/>
        </w:rPr>
        <w:t xml:space="preserve">חברתי פירטה בצורה מקיפה את נסיבות האירוע והשתלשלות האירועים במסגרת ההליך </w:t>
      </w:r>
      <w:r w:rsidRPr="007D190C">
        <w:rPr>
          <w:rFonts w:ascii="David" w:eastAsia="Calibri" w:hAnsi="David"/>
          <w:rtl/>
        </w:rPr>
        <w:tab/>
        <w:t xml:space="preserve">המשפטי ואין לי לחזור על הדברים. מקרה זה מציב את הקושי האמתי שבין חומרת המעשים </w:t>
      </w:r>
      <w:r w:rsidRPr="007D190C">
        <w:rPr>
          <w:rFonts w:ascii="David" w:eastAsia="Calibri" w:hAnsi="David"/>
          <w:rtl/>
        </w:rPr>
        <w:tab/>
        <w:t xml:space="preserve">של הנאשם לבין היותו קטין וגישת הפסיקה לטיפול בקטינים עוברי חוק בעבירות מין. לולא </w:t>
      </w:r>
      <w:r w:rsidRPr="007D190C">
        <w:rPr>
          <w:rFonts w:ascii="David" w:eastAsia="Calibri" w:hAnsi="David"/>
          <w:rtl/>
        </w:rPr>
        <w:tab/>
        <w:t xml:space="preserve">הנאשם קטין, היה מקום </w:t>
      </w:r>
      <w:r w:rsidRPr="007D190C">
        <w:rPr>
          <w:rFonts w:ascii="David" w:eastAsia="Calibri" w:hAnsi="David"/>
          <w:rtl/>
        </w:rPr>
        <w:t xml:space="preserve">להטיל עליו עונש מאסר של מספר שנות מאסר רב, זאת נוכח גילן </w:t>
      </w:r>
      <w:r w:rsidRPr="007D190C">
        <w:rPr>
          <w:rFonts w:ascii="David" w:eastAsia="Calibri" w:hAnsi="David"/>
          <w:rtl/>
        </w:rPr>
        <w:tab/>
        <w:t xml:space="preserve">הצעיר של נפגעות העבירה, ריבוי המעשים, שהתרחשו לאורך 3 שנים בנפגעות עבירה שונות. </w:t>
      </w:r>
      <w:r w:rsidRPr="007D190C">
        <w:rPr>
          <w:rFonts w:ascii="David" w:eastAsia="Calibri" w:hAnsi="David"/>
          <w:rtl/>
        </w:rPr>
        <w:tab/>
        <w:t xml:space="preserve">אולם עסקינן בקטין שביצע את העבירות בהן הוא הודה בגיל 13-15 ומשכך יש משקל רב </w:t>
      </w:r>
      <w:r w:rsidRPr="007D190C">
        <w:rPr>
          <w:rFonts w:ascii="David" w:eastAsia="Calibri" w:hAnsi="David"/>
          <w:rtl/>
        </w:rPr>
        <w:tab/>
        <w:t>לשיקומו של הנאשם והצורך בדרכי טיפול על פ</w:t>
      </w:r>
      <w:r w:rsidRPr="007D190C">
        <w:rPr>
          <w:rFonts w:ascii="David" w:eastAsia="Calibri" w:hAnsi="David"/>
          <w:rtl/>
        </w:rPr>
        <w:t>ני ענישה.</w:t>
      </w:r>
    </w:p>
    <w:p w:rsidR="007D190C" w:rsidRPr="007D190C" w:rsidRDefault="007D190C" w:rsidP="007D190C">
      <w:pPr>
        <w:spacing w:line="360" w:lineRule="auto"/>
        <w:jc w:val="both"/>
        <w:rPr>
          <w:rFonts w:ascii="David" w:eastAsia="Calibri" w:hAnsi="David"/>
          <w:rtl/>
        </w:rPr>
      </w:pPr>
    </w:p>
    <w:p w:rsidR="007D190C" w:rsidRPr="007D190C" w:rsidRDefault="00DE4D55" w:rsidP="007D190C">
      <w:pPr>
        <w:spacing w:line="360" w:lineRule="auto"/>
        <w:jc w:val="both"/>
        <w:rPr>
          <w:rFonts w:ascii="Calibri" w:eastAsia="Calibri" w:hAnsi="Calibri" w:cs="FrankRuehl"/>
          <w:sz w:val="22"/>
          <w:szCs w:val="28"/>
          <w:rtl/>
        </w:rPr>
      </w:pPr>
      <w:r w:rsidRPr="007D190C">
        <w:rPr>
          <w:rFonts w:ascii="David" w:eastAsia="Calibri" w:hAnsi="David"/>
          <w:rtl/>
        </w:rPr>
        <w:t>2.</w:t>
      </w:r>
      <w:r w:rsidRPr="007D190C">
        <w:rPr>
          <w:rFonts w:ascii="David" w:eastAsia="Calibri" w:hAnsi="David"/>
          <w:rtl/>
        </w:rPr>
        <w:tab/>
        <w:t xml:space="preserve">לצורך בחינת השאלה שלפני יש לבחון את השיקולים השונים על פי הכלים שנטע בית המשפט </w:t>
      </w:r>
      <w:r w:rsidRPr="007D190C">
        <w:rPr>
          <w:rFonts w:ascii="David" w:eastAsia="Calibri" w:hAnsi="David"/>
          <w:rtl/>
        </w:rPr>
        <w:tab/>
        <w:t xml:space="preserve">העליון בפסיקה. פסיקת בית המשפט העליון קבעה את הקריטריונים לפיהם בית המשפט </w:t>
      </w:r>
      <w:r w:rsidRPr="007D190C">
        <w:rPr>
          <w:rFonts w:ascii="David" w:eastAsia="Calibri" w:hAnsi="David"/>
          <w:rtl/>
        </w:rPr>
        <w:tab/>
        <w:t>ישית עונש על נאשם שהוא קטין. ב</w:t>
      </w:r>
      <w:r w:rsidRPr="007D190C">
        <w:rPr>
          <w:rFonts w:ascii="David" w:eastAsia="Calibri" w:hAnsi="David"/>
          <w:color w:val="000000"/>
          <w:rtl/>
        </w:rPr>
        <w:t>ע"פ 49/09 מדינת ישראל נ' פלוני</w:t>
      </w:r>
      <w:r w:rsidRPr="007D190C">
        <w:rPr>
          <w:rFonts w:ascii="David" w:eastAsia="Calibri" w:hAnsi="David"/>
          <w:rtl/>
        </w:rPr>
        <w:t xml:space="preserve"> נקבעו חמישה </w:t>
      </w:r>
      <w:r w:rsidRPr="007D190C">
        <w:rPr>
          <w:rFonts w:ascii="David" w:eastAsia="Calibri" w:hAnsi="David"/>
          <w:rtl/>
        </w:rPr>
        <w:tab/>
        <w:t>קריטריונים לע</w:t>
      </w:r>
      <w:r w:rsidRPr="007D190C">
        <w:rPr>
          <w:rFonts w:ascii="David" w:eastAsia="Calibri" w:hAnsi="David"/>
          <w:rtl/>
        </w:rPr>
        <w:t xml:space="preserve">נישת קטין בעבירות מין: </w:t>
      </w:r>
    </w:p>
    <w:p w:rsidR="007D190C" w:rsidRPr="007D190C" w:rsidRDefault="00DE4D55" w:rsidP="007D190C">
      <w:pPr>
        <w:spacing w:after="160" w:line="360" w:lineRule="auto"/>
        <w:ind w:left="720"/>
        <w:jc w:val="both"/>
        <w:rPr>
          <w:rFonts w:ascii="Calibri" w:eastAsia="Calibri" w:hAnsi="Calibri" w:cs="FrankRuehl"/>
          <w:color w:val="000000"/>
          <w:sz w:val="22"/>
          <w:szCs w:val="28"/>
          <w:rtl/>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7D190C">
        <w:rPr>
          <w:rFonts w:ascii="Calibri" w:eastAsia="Calibri" w:hAnsi="Calibri" w:cs="FrankRuehl"/>
          <w:sz w:val="22"/>
          <w:szCs w:val="28"/>
          <w:rtl/>
        </w:rPr>
        <w:lastRenderedPageBreak/>
        <w:t xml:space="preserve">"ניתן להצביע על מספר גורמים ושיקולים שאותם על בית המשפט לבחון טרם הכרעתו בדבר אופי העונש שיוטל על קטין שביצע </w:t>
      </w:r>
      <w:r w:rsidRPr="007D190C">
        <w:rPr>
          <w:rFonts w:ascii="Calibri" w:eastAsia="Calibri" w:hAnsi="Calibri" w:cs="FrankRuehl"/>
          <w:sz w:val="22"/>
          <w:szCs w:val="28"/>
          <w:rtl/>
        </w:rPr>
        <w:t xml:space="preserve">עבירת מין [כפי שאלו פורטו </w:t>
      </w:r>
      <w:r w:rsidRPr="007D190C">
        <w:rPr>
          <w:rFonts w:ascii="Calibri" w:eastAsia="Calibri" w:hAnsi="Calibri" w:cs="FrankRuehl"/>
          <w:color w:val="000000"/>
          <w:sz w:val="22"/>
          <w:szCs w:val="28"/>
          <w:rtl/>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ב</w:t>
      </w:r>
      <w:hyperlink w:history="1">
        <w:r w:rsidRPr="007D190C">
          <w:rPr>
            <w:rFonts w:ascii="Calibri" w:eastAsia="Calibri" w:hAnsi="Calibri" w:cs="FrankRuehl"/>
            <w:color w:val="000000"/>
            <w:sz w:val="22"/>
            <w:szCs w:val="28"/>
            <w:u w:val="single"/>
            <w:rtl/>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-Hyperlink Removed-</w:t>
        </w:r>
      </w:hyperlink>
      <w:r w:rsidRPr="007D190C">
        <w:rPr>
          <w:rFonts w:ascii="Calibri" w:eastAsia="Calibri" w:hAnsi="Calibri" w:cs="FrankRuehl"/>
          <w:color w:val="000000"/>
          <w:sz w:val="22"/>
          <w:szCs w:val="28"/>
          <w:rtl/>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Pr="007D190C">
        <w:rPr>
          <w:rFonts w:ascii="Calibri" w:eastAsia="Calibri" w:hAnsi="Calibri" w:cs="Miriam"/>
          <w:color w:val="000000"/>
          <w:sz w:val="28"/>
          <w:szCs w:val="22"/>
          <w:rtl/>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הנ"ל</w:t>
      </w:r>
      <w:r w:rsidRPr="007D190C">
        <w:rPr>
          <w:rFonts w:ascii="Calibri" w:eastAsia="Calibri" w:hAnsi="Calibri" w:cs="FrankRuehl"/>
          <w:color w:val="000000"/>
          <w:sz w:val="22"/>
          <w:szCs w:val="28"/>
          <w:rtl/>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p>
    <w:p w:rsidR="007D190C" w:rsidRPr="007D190C" w:rsidRDefault="00DE4D55" w:rsidP="007D190C">
      <w:pPr>
        <w:tabs>
          <w:tab w:val="left" w:pos="800"/>
        </w:tabs>
        <w:overflowPunct w:val="0"/>
        <w:autoSpaceDE w:val="0"/>
        <w:autoSpaceDN w:val="0"/>
        <w:adjustRightInd w:val="0"/>
        <w:spacing w:line="360" w:lineRule="auto"/>
        <w:ind w:left="720" w:hanging="720"/>
        <w:jc w:val="both"/>
        <w:rPr>
          <w:rFonts w:cs="FrankRuehl"/>
          <w:sz w:val="22"/>
          <w:szCs w:val="28"/>
          <w:rtl/>
        </w:rPr>
      </w:pPr>
      <w:r w:rsidRPr="007D190C">
        <w:rPr>
          <w:rFonts w:cs="FrankRuehl"/>
          <w:sz w:val="22"/>
          <w:szCs w:val="28"/>
          <w:rtl/>
        </w:rPr>
        <w:tab/>
        <w:t>(א)</w:t>
      </w:r>
      <w:r w:rsidRPr="007D190C">
        <w:rPr>
          <w:rFonts w:cs="FrankRuehl"/>
          <w:sz w:val="22"/>
          <w:szCs w:val="28"/>
          <w:rtl/>
        </w:rPr>
        <w:tab/>
      </w:r>
      <w:r w:rsidRPr="007D190C">
        <w:rPr>
          <w:rFonts w:cs="Miriam"/>
          <w:sz w:val="28"/>
          <w:rtl/>
        </w:rPr>
        <w:t>גילו של העבריין הקטין בעת ביצוע העבירה</w:t>
      </w:r>
      <w:r w:rsidRPr="007D190C">
        <w:rPr>
          <w:rFonts w:cs="FrankRuehl"/>
          <w:sz w:val="22"/>
          <w:szCs w:val="28"/>
          <w:rtl/>
        </w:rPr>
        <w:t>. אין דינו של קטין שביצע את העבירה על סף גיל האחריות הפלילית כדינו של קטין אשר חצה את גיל האחריות הפל</w:t>
      </w:r>
      <w:r w:rsidRPr="007D190C">
        <w:rPr>
          <w:rFonts w:cs="FrankRuehl"/>
          <w:sz w:val="22"/>
          <w:szCs w:val="28"/>
          <w:rtl/>
        </w:rPr>
        <w:t xml:space="preserve">ילית זה מכבר </w:t>
      </w:r>
      <w:r w:rsidRPr="007D190C">
        <w:rPr>
          <w:rFonts w:cs="FrankRuehl"/>
          <w:color w:val="000000"/>
          <w:sz w:val="22"/>
          <w:szCs w:val="28"/>
          <w:rtl/>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hyperlink w:history="1">
        <w:r w:rsidRPr="007D190C">
          <w:rPr>
            <w:rFonts w:ascii="Arial TUR" w:hAnsi="Arial TUR" w:cs="FrankRuehl"/>
            <w:color w:val="000000"/>
            <w:sz w:val="22"/>
            <w:szCs w:val="28"/>
            <w:u w:val="single"/>
            <w:rtl/>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-Hyperlink Removed-</w:t>
        </w:r>
      </w:hyperlink>
      <w:r w:rsidRPr="007D190C">
        <w:rPr>
          <w:rFonts w:cs="FrankRuehl"/>
          <w:sz w:val="22"/>
          <w:szCs w:val="28"/>
          <w:rtl/>
        </w:rPr>
        <w:t xml:space="preserve"> </w:t>
      </w:r>
      <w:r w:rsidRPr="007D190C">
        <w:rPr>
          <w:rFonts w:cs="Miriam"/>
          <w:sz w:val="28"/>
          <w:rtl/>
        </w:rPr>
        <w:t>הנ"ל</w:t>
      </w:r>
      <w:r w:rsidRPr="007D190C">
        <w:rPr>
          <w:rFonts w:cs="FrankRuehl"/>
          <w:sz w:val="22"/>
          <w:szCs w:val="28"/>
          <w:rtl/>
        </w:rPr>
        <w:t>, פסקה 4 לפסק דינה של</w:t>
      </w:r>
      <w:r w:rsidRPr="007D190C">
        <w:rPr>
          <w:rFonts w:ascii="Arial TUR" w:hAnsi="Arial TUR" w:cs="FrankRuehl"/>
          <w:sz w:val="22"/>
          <w:szCs w:val="28"/>
          <w:rtl/>
        </w:rPr>
        <w:t xml:space="preserve"> </w:t>
      </w:r>
      <w:r w:rsidRPr="007D190C">
        <w:rPr>
          <w:rFonts w:cs="Miriam"/>
          <w:sz w:val="28"/>
          <w:rtl/>
        </w:rPr>
        <w:t>כבוד השופטת ע' ארבל</w:t>
      </w:r>
      <w:r w:rsidRPr="007D190C">
        <w:rPr>
          <w:rFonts w:cs="FrankRuehl"/>
          <w:sz w:val="22"/>
          <w:szCs w:val="28"/>
          <w:rtl/>
        </w:rPr>
        <w:t>];</w:t>
      </w:r>
    </w:p>
    <w:p w:rsidR="007D190C" w:rsidRPr="007D190C" w:rsidRDefault="00DE4D55" w:rsidP="007D190C">
      <w:pPr>
        <w:tabs>
          <w:tab w:val="left" w:pos="800"/>
        </w:tabs>
        <w:overflowPunct w:val="0"/>
        <w:autoSpaceDE w:val="0"/>
        <w:autoSpaceDN w:val="0"/>
        <w:adjustRightInd w:val="0"/>
        <w:spacing w:line="360" w:lineRule="auto"/>
        <w:jc w:val="both"/>
        <w:rPr>
          <w:rFonts w:ascii="Arial TUR" w:hAnsi="Arial TUR" w:cs="Miriam"/>
          <w:sz w:val="22"/>
        </w:rPr>
      </w:pPr>
      <w:r w:rsidRPr="007D190C">
        <w:rPr>
          <w:rFonts w:ascii="Arial TUR" w:hAnsi="Arial TUR" w:cs="Miriam"/>
          <w:sz w:val="22"/>
          <w:rtl/>
        </w:rPr>
        <w:tab/>
      </w:r>
    </w:p>
    <w:p w:rsidR="007D190C" w:rsidRPr="007D190C" w:rsidRDefault="00DE4D55" w:rsidP="007D190C">
      <w:pPr>
        <w:tabs>
          <w:tab w:val="left" w:pos="800"/>
        </w:tabs>
        <w:overflowPunct w:val="0"/>
        <w:autoSpaceDE w:val="0"/>
        <w:autoSpaceDN w:val="0"/>
        <w:adjustRightInd w:val="0"/>
        <w:spacing w:line="360" w:lineRule="auto"/>
        <w:ind w:left="720" w:hanging="720"/>
        <w:jc w:val="both"/>
        <w:rPr>
          <w:rFonts w:cs="FrankRuehl"/>
          <w:sz w:val="22"/>
          <w:szCs w:val="28"/>
          <w:rtl/>
        </w:rPr>
      </w:pPr>
      <w:r w:rsidRPr="007D190C">
        <w:rPr>
          <w:rFonts w:ascii="Arial TUR" w:hAnsi="Arial TUR" w:cs="Miriam"/>
          <w:sz w:val="22"/>
          <w:rtl/>
        </w:rPr>
        <w:tab/>
      </w:r>
      <w:r w:rsidRPr="007D190C">
        <w:rPr>
          <w:rFonts w:cs="FrankRuehl"/>
          <w:sz w:val="22"/>
          <w:szCs w:val="28"/>
          <w:rtl/>
        </w:rPr>
        <w:t>(ב)</w:t>
      </w:r>
      <w:r w:rsidRPr="007D190C">
        <w:rPr>
          <w:rFonts w:ascii="Arial TUR" w:hAnsi="Arial TUR" w:cs="Miriam"/>
          <w:sz w:val="22"/>
          <w:rtl/>
        </w:rPr>
        <w:t xml:space="preserve"> </w:t>
      </w:r>
      <w:r w:rsidRPr="007D190C">
        <w:rPr>
          <w:rFonts w:ascii="Arial TUR" w:hAnsi="Arial TUR" w:cs="Miriam"/>
          <w:sz w:val="22"/>
          <w:rtl/>
        </w:rPr>
        <w:tab/>
      </w:r>
      <w:r w:rsidRPr="007D190C">
        <w:rPr>
          <w:rFonts w:cs="Miriam"/>
          <w:sz w:val="28"/>
          <w:rtl/>
        </w:rPr>
        <w:t>האם מביע העבריין הקטין חרטה כנה על ביצוע העבירה והאם נוטל הוא אחריות למעשיו</w:t>
      </w:r>
      <w:r w:rsidRPr="007D190C">
        <w:rPr>
          <w:rFonts w:ascii="Arial TUR" w:hAnsi="Arial TUR" w:cs="FrankRuehl"/>
          <w:color w:val="000000"/>
          <w:sz w:val="22"/>
          <w:szCs w:val="28"/>
          <w:rtl/>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Pr="007D190C">
        <w:rPr>
          <w:rFonts w:cs="FrankRuehl"/>
          <w:color w:val="000000"/>
          <w:sz w:val="22"/>
          <w:szCs w:val="28"/>
          <w:rtl/>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hyperlink w:history="1">
        <w:r w:rsidRPr="007D190C">
          <w:rPr>
            <w:rFonts w:cs="FrankRuehl"/>
            <w:color w:val="000000"/>
            <w:sz w:val="22"/>
            <w:szCs w:val="28"/>
            <w:u w:val="single"/>
            <w:rtl/>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-Hyperlink Removed-</w:t>
        </w:r>
      </w:hyperlink>
      <w:r w:rsidRPr="007D190C">
        <w:rPr>
          <w:rFonts w:ascii="Arial TUR" w:hAnsi="Arial TUR" w:cs="FrankRuehl"/>
          <w:sz w:val="22"/>
          <w:szCs w:val="28"/>
          <w:rtl/>
        </w:rPr>
        <w:t xml:space="preserve"> </w:t>
      </w:r>
      <w:r w:rsidRPr="007D190C">
        <w:rPr>
          <w:rFonts w:cs="Miriam"/>
          <w:sz w:val="28"/>
          <w:rtl/>
        </w:rPr>
        <w:t>פלוני נ' מדינת ישראל</w:t>
      </w:r>
      <w:r w:rsidRPr="007D190C">
        <w:rPr>
          <w:rFonts w:ascii="Arial TUR" w:hAnsi="Arial TUR" w:cs="FrankRuehl"/>
          <w:sz w:val="22"/>
          <w:szCs w:val="28"/>
          <w:rtl/>
        </w:rPr>
        <w:t xml:space="preserve"> </w:t>
      </w:r>
      <w:r w:rsidRPr="007D190C">
        <w:rPr>
          <w:rFonts w:cs="FrankRuehl"/>
          <w:sz w:val="22"/>
          <w:szCs w:val="28"/>
          <w:rtl/>
        </w:rPr>
        <w:t xml:space="preserve">(לא פורסם, </w:t>
      </w:r>
      <w:r w:rsidRPr="007D190C">
        <w:rPr>
          <w:rtl/>
        </w:rPr>
        <w:t>[פורסם בנבו]</w:t>
      </w:r>
      <w:r w:rsidRPr="007D190C">
        <w:rPr>
          <w:rFonts w:cs="FrankRuehl"/>
          <w:sz w:val="22"/>
          <w:szCs w:val="28"/>
          <w:rtl/>
        </w:rPr>
        <w:t>, 8.4.2008)]. תפיסה זו של התחשבות בגילו של הקטין מקבלת משנה תוקף במקרים בהם הוא מקבל עליו, כבר במסגרת המשפט המתנהל נגדו, אחריות למעשיו ומביע חרטה כנה ואמיתית. ודוק - גם קטין המתכחש לא</w:t>
      </w:r>
      <w:r w:rsidRPr="007D190C">
        <w:rPr>
          <w:rFonts w:cs="FrankRuehl"/>
          <w:sz w:val="22"/>
          <w:szCs w:val="28"/>
          <w:rtl/>
        </w:rPr>
        <w:t xml:space="preserve">חריותו בעת המשפט אינו בהכרח נטול סיכויי שיקום </w:t>
      </w:r>
      <w:r w:rsidRPr="007D190C">
        <w:rPr>
          <w:rFonts w:cs="FrankRuehl"/>
          <w:color w:val="000000"/>
          <w:sz w:val="22"/>
          <w:szCs w:val="28"/>
          <w:rtl/>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hyperlink w:history="1">
        <w:r w:rsidRPr="007D190C">
          <w:rPr>
            <w:rFonts w:ascii="Arial TUR" w:hAnsi="Arial TUR" w:cs="FrankRuehl"/>
            <w:color w:val="000000"/>
            <w:sz w:val="22"/>
            <w:szCs w:val="28"/>
            <w:u w:val="single"/>
            <w:rtl/>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-Hyperlink Removed-</w:t>
        </w:r>
      </w:hyperlink>
      <w:r w:rsidRPr="007D190C">
        <w:rPr>
          <w:rFonts w:cs="FrankRuehl"/>
          <w:sz w:val="22"/>
          <w:szCs w:val="28"/>
          <w:rtl/>
        </w:rPr>
        <w:t xml:space="preserve"> </w:t>
      </w:r>
      <w:r w:rsidRPr="007D190C">
        <w:rPr>
          <w:rFonts w:cs="Miriam"/>
          <w:sz w:val="28"/>
          <w:rtl/>
        </w:rPr>
        <w:t>הנ"ל</w:t>
      </w:r>
      <w:r w:rsidRPr="007D190C">
        <w:rPr>
          <w:rFonts w:cs="FrankRuehl"/>
          <w:sz w:val="22"/>
          <w:szCs w:val="28"/>
          <w:rtl/>
        </w:rPr>
        <w:t>, פסקה 14 לפסק דינה של</w:t>
      </w:r>
      <w:r w:rsidRPr="007D190C">
        <w:rPr>
          <w:rFonts w:ascii="Arial TUR" w:hAnsi="Arial TUR" w:cs="FrankRuehl"/>
          <w:sz w:val="22"/>
          <w:szCs w:val="28"/>
          <w:rtl/>
        </w:rPr>
        <w:t xml:space="preserve"> </w:t>
      </w:r>
      <w:r w:rsidRPr="007D190C">
        <w:rPr>
          <w:rFonts w:cs="Miriam"/>
          <w:sz w:val="28"/>
          <w:rtl/>
        </w:rPr>
        <w:t>כבוד השופטת א' פרוקצ'יה</w:t>
      </w:r>
      <w:r w:rsidRPr="007D190C">
        <w:rPr>
          <w:rFonts w:cs="FrankRuehl"/>
          <w:sz w:val="22"/>
          <w:szCs w:val="28"/>
          <w:rtl/>
        </w:rPr>
        <w:t xml:space="preserve">]; </w:t>
      </w:r>
    </w:p>
    <w:p w:rsidR="007D190C" w:rsidRPr="007D190C" w:rsidRDefault="007D190C" w:rsidP="007D190C">
      <w:pPr>
        <w:tabs>
          <w:tab w:val="left" w:pos="800"/>
        </w:tabs>
        <w:overflowPunct w:val="0"/>
        <w:autoSpaceDE w:val="0"/>
        <w:autoSpaceDN w:val="0"/>
        <w:adjustRightInd w:val="0"/>
        <w:spacing w:line="360" w:lineRule="auto"/>
        <w:jc w:val="both"/>
        <w:rPr>
          <w:rFonts w:cs="FrankRuehl"/>
          <w:sz w:val="22"/>
          <w:szCs w:val="28"/>
          <w:rtl/>
        </w:rPr>
      </w:pPr>
    </w:p>
    <w:p w:rsidR="007D190C" w:rsidRPr="007D190C" w:rsidRDefault="00DE4D55" w:rsidP="007D190C">
      <w:pPr>
        <w:tabs>
          <w:tab w:val="left" w:pos="800"/>
        </w:tabs>
        <w:overflowPunct w:val="0"/>
        <w:autoSpaceDE w:val="0"/>
        <w:autoSpaceDN w:val="0"/>
        <w:adjustRightInd w:val="0"/>
        <w:spacing w:line="360" w:lineRule="auto"/>
        <w:ind w:left="720" w:hanging="720"/>
        <w:jc w:val="both"/>
        <w:rPr>
          <w:rFonts w:ascii="Arial TUR" w:hAnsi="Arial TUR" w:cs="Miriam"/>
          <w:sz w:val="22"/>
          <w:rtl/>
        </w:rPr>
      </w:pPr>
      <w:r w:rsidRPr="007D190C">
        <w:rPr>
          <w:rFonts w:cs="FrankRuehl"/>
          <w:sz w:val="22"/>
          <w:szCs w:val="28"/>
          <w:rtl/>
        </w:rPr>
        <w:tab/>
        <w:t>(ג)</w:t>
      </w:r>
      <w:r w:rsidRPr="007D190C">
        <w:rPr>
          <w:rFonts w:ascii="Arial TUR" w:hAnsi="Arial TUR" w:cs="Miriam"/>
          <w:sz w:val="22"/>
          <w:rtl/>
        </w:rPr>
        <w:tab/>
      </w:r>
      <w:r w:rsidRPr="007D190C">
        <w:rPr>
          <w:rFonts w:cs="Miriam"/>
          <w:sz w:val="28"/>
          <w:rtl/>
        </w:rPr>
        <w:t>עברו הפלילי של העבריין הקטין</w:t>
      </w:r>
      <w:r w:rsidRPr="007D190C">
        <w:rPr>
          <w:rFonts w:cs="FrankRuehl"/>
          <w:sz w:val="22"/>
          <w:szCs w:val="28"/>
          <w:rtl/>
        </w:rPr>
        <w:t>. לקיומו של עבר פלילי אצל קטין יש ליתן משקל לחומרא בעת גזירת עונשו, כשם שיש ליתן משקל לקולא לעברו הנקי [</w:t>
      </w:r>
      <w:r w:rsidRPr="007D190C">
        <w:rPr>
          <w:rFonts w:cs="Miriam"/>
          <w:sz w:val="28"/>
          <w:rtl/>
        </w:rPr>
        <w:t>שם</w:t>
      </w:r>
      <w:r w:rsidRPr="007D190C">
        <w:rPr>
          <w:rFonts w:cs="FrankRuehl"/>
          <w:sz w:val="22"/>
          <w:szCs w:val="28"/>
          <w:rtl/>
        </w:rPr>
        <w:t xml:space="preserve">]; </w:t>
      </w:r>
    </w:p>
    <w:p w:rsidR="007D190C" w:rsidRPr="007D190C" w:rsidRDefault="007D190C" w:rsidP="007D190C">
      <w:pPr>
        <w:tabs>
          <w:tab w:val="left" w:pos="800"/>
        </w:tabs>
        <w:overflowPunct w:val="0"/>
        <w:autoSpaceDE w:val="0"/>
        <w:autoSpaceDN w:val="0"/>
        <w:adjustRightInd w:val="0"/>
        <w:spacing w:line="360" w:lineRule="auto"/>
        <w:jc w:val="both"/>
        <w:rPr>
          <w:rFonts w:ascii="Arial TUR" w:hAnsi="Arial TUR" w:cs="Miriam"/>
          <w:sz w:val="22"/>
          <w:rtl/>
        </w:rPr>
      </w:pPr>
    </w:p>
    <w:p w:rsidR="007D190C" w:rsidRPr="007D190C" w:rsidRDefault="00DE4D55" w:rsidP="007D190C">
      <w:pPr>
        <w:tabs>
          <w:tab w:val="left" w:pos="800"/>
        </w:tabs>
        <w:overflowPunct w:val="0"/>
        <w:autoSpaceDE w:val="0"/>
        <w:autoSpaceDN w:val="0"/>
        <w:adjustRightInd w:val="0"/>
        <w:spacing w:line="360" w:lineRule="auto"/>
        <w:ind w:left="720" w:hanging="720"/>
        <w:jc w:val="both"/>
        <w:rPr>
          <w:rFonts w:cs="FrankRuehl"/>
          <w:sz w:val="22"/>
          <w:szCs w:val="28"/>
          <w:rtl/>
        </w:rPr>
      </w:pPr>
      <w:r w:rsidRPr="007D190C">
        <w:rPr>
          <w:rFonts w:ascii="Arial TUR" w:hAnsi="Arial TUR" w:cs="FrankRuehl"/>
          <w:sz w:val="22"/>
          <w:szCs w:val="28"/>
          <w:rtl/>
        </w:rPr>
        <w:tab/>
      </w:r>
      <w:r w:rsidRPr="007D190C">
        <w:rPr>
          <w:rFonts w:cs="FrankRuehl"/>
          <w:sz w:val="22"/>
          <w:szCs w:val="28"/>
          <w:rtl/>
        </w:rPr>
        <w:t>(ד)</w:t>
      </w:r>
      <w:r w:rsidRPr="007D190C">
        <w:rPr>
          <w:rFonts w:ascii="Arial TUR" w:hAnsi="Arial TUR" w:cs="Miriam"/>
          <w:sz w:val="22"/>
          <w:rtl/>
        </w:rPr>
        <w:tab/>
      </w:r>
      <w:r w:rsidRPr="007D190C">
        <w:rPr>
          <w:rFonts w:cs="Miriam"/>
          <w:sz w:val="28"/>
          <w:rtl/>
        </w:rPr>
        <w:t>סיכויי השיקום של העבריין הקטין</w:t>
      </w:r>
      <w:r w:rsidRPr="007D190C">
        <w:rPr>
          <w:rFonts w:cs="FrankRuehl"/>
          <w:sz w:val="22"/>
          <w:szCs w:val="28"/>
          <w:rtl/>
        </w:rPr>
        <w:t xml:space="preserve">. על מנת לברר מהם סיכויי השיקום בעניינו של הקטין, ייעזר בית המשפט בחוות דעתם של הגורמים המקצועיים כגון שירות המבחן, המוסדות הטיפוליים בהם שהה הקטין, פסיכולוגים שבדקו את הקטין והצלחותיהם של הליכים שיקומיים קודמים, אם ישנם </w:t>
      </w:r>
      <w:r w:rsidRPr="007D190C">
        <w:rPr>
          <w:rFonts w:cs="FrankRuehl"/>
          <w:color w:val="000000"/>
          <w:sz w:val="22"/>
          <w:szCs w:val="28"/>
          <w:rtl/>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hyperlink w:history="1">
        <w:r w:rsidRPr="007D190C">
          <w:rPr>
            <w:rFonts w:cs="FrankRuehl"/>
            <w:color w:val="000000"/>
            <w:sz w:val="22"/>
            <w:szCs w:val="28"/>
            <w:u w:val="single"/>
            <w:rtl/>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-Hyperlink Removed-</w:t>
        </w:r>
      </w:hyperlink>
      <w:r w:rsidRPr="007D190C">
        <w:rPr>
          <w:rFonts w:ascii="Arial TUR" w:hAnsi="Arial TUR" w:cs="FrankRuehl"/>
          <w:color w:val="000000"/>
          <w:sz w:val="22"/>
          <w:szCs w:val="28"/>
          <w:rtl/>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Pr="007D190C">
        <w:rPr>
          <w:rFonts w:cs="Miriam"/>
          <w:sz w:val="28"/>
          <w:rtl/>
        </w:rPr>
        <w:t>פלוני נ' מדינת ישראל</w:t>
      </w:r>
      <w:r w:rsidRPr="007D190C">
        <w:rPr>
          <w:rFonts w:ascii="Arial TUR" w:hAnsi="Arial TUR" w:cs="FrankRuehl"/>
          <w:sz w:val="22"/>
          <w:szCs w:val="28"/>
          <w:rtl/>
        </w:rPr>
        <w:t xml:space="preserve"> </w:t>
      </w:r>
      <w:r w:rsidRPr="007D190C">
        <w:rPr>
          <w:rFonts w:cs="FrankRuehl"/>
          <w:sz w:val="22"/>
          <w:szCs w:val="28"/>
          <w:rtl/>
        </w:rPr>
        <w:t xml:space="preserve">(לא פורסם, </w:t>
      </w:r>
      <w:r w:rsidRPr="007D190C">
        <w:rPr>
          <w:rtl/>
        </w:rPr>
        <w:t>[פורסם בנבו]</w:t>
      </w:r>
      <w:r w:rsidRPr="007D190C">
        <w:rPr>
          <w:rFonts w:cs="FrankRuehl"/>
          <w:sz w:val="22"/>
          <w:szCs w:val="28"/>
          <w:rtl/>
        </w:rPr>
        <w:t>, 6.7.2006) פסקה 12;</w:t>
      </w:r>
      <w:r w:rsidRPr="007D190C">
        <w:rPr>
          <w:rFonts w:cs="FrankRuehl"/>
          <w:color w:val="000000"/>
          <w:sz w:val="22"/>
          <w:szCs w:val="28"/>
          <w:rtl/>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hyperlink w:history="1">
        <w:r w:rsidRPr="007D190C">
          <w:rPr>
            <w:rFonts w:cs="FrankRuehl"/>
            <w:color w:val="000000"/>
            <w:sz w:val="22"/>
            <w:szCs w:val="28"/>
            <w:u w:val="single"/>
            <w:rtl/>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-Hyperlink Removed-</w:t>
        </w:r>
      </w:hyperlink>
      <w:r w:rsidRPr="007D190C">
        <w:rPr>
          <w:rFonts w:cs="FrankRuehl"/>
          <w:sz w:val="22"/>
          <w:szCs w:val="28"/>
          <w:rtl/>
        </w:rPr>
        <w:t xml:space="preserve"> </w:t>
      </w:r>
      <w:r w:rsidRPr="007D190C">
        <w:rPr>
          <w:rFonts w:cs="Miriam"/>
          <w:sz w:val="28"/>
          <w:rtl/>
        </w:rPr>
        <w:t>הנ"ל</w:t>
      </w:r>
      <w:r w:rsidRPr="007D190C">
        <w:rPr>
          <w:rFonts w:cs="FrankRuehl"/>
          <w:sz w:val="22"/>
          <w:szCs w:val="28"/>
          <w:rtl/>
        </w:rPr>
        <w:t xml:space="preserve">, פסקאות 17-18]; </w:t>
      </w:r>
    </w:p>
    <w:p w:rsidR="007D190C" w:rsidRPr="007D190C" w:rsidRDefault="007D190C" w:rsidP="007D190C">
      <w:pPr>
        <w:tabs>
          <w:tab w:val="left" w:pos="800"/>
        </w:tabs>
        <w:overflowPunct w:val="0"/>
        <w:autoSpaceDE w:val="0"/>
        <w:autoSpaceDN w:val="0"/>
        <w:adjustRightInd w:val="0"/>
        <w:spacing w:line="360" w:lineRule="auto"/>
        <w:jc w:val="both"/>
        <w:rPr>
          <w:rFonts w:ascii="Arial TUR" w:hAnsi="Arial TUR" w:cs="FrankRuehl"/>
          <w:sz w:val="22"/>
          <w:szCs w:val="28"/>
          <w:rtl/>
        </w:rPr>
      </w:pPr>
    </w:p>
    <w:p w:rsidR="007D190C" w:rsidRPr="007D190C" w:rsidRDefault="00DE4D55" w:rsidP="007D190C">
      <w:pPr>
        <w:tabs>
          <w:tab w:val="left" w:pos="800"/>
        </w:tabs>
        <w:overflowPunct w:val="0"/>
        <w:autoSpaceDE w:val="0"/>
        <w:autoSpaceDN w:val="0"/>
        <w:adjustRightInd w:val="0"/>
        <w:spacing w:line="360" w:lineRule="auto"/>
        <w:ind w:left="720" w:hanging="720"/>
        <w:jc w:val="both"/>
        <w:rPr>
          <w:rFonts w:ascii="Arial TUR" w:hAnsi="Arial TUR" w:cs="FrankRuehl"/>
          <w:sz w:val="22"/>
          <w:szCs w:val="28"/>
          <w:rtl/>
        </w:rPr>
      </w:pPr>
      <w:r w:rsidRPr="007D190C">
        <w:rPr>
          <w:rFonts w:ascii="Arial TUR" w:hAnsi="Arial TUR" w:cs="FrankRuehl"/>
          <w:sz w:val="22"/>
          <w:szCs w:val="28"/>
          <w:rtl/>
        </w:rPr>
        <w:lastRenderedPageBreak/>
        <w:tab/>
      </w:r>
      <w:r w:rsidRPr="007D190C">
        <w:rPr>
          <w:rFonts w:cs="FrankRuehl"/>
          <w:sz w:val="22"/>
          <w:szCs w:val="28"/>
          <w:rtl/>
        </w:rPr>
        <w:t>(ה)</w:t>
      </w:r>
      <w:r w:rsidRPr="007D190C">
        <w:rPr>
          <w:rFonts w:ascii="Arial TUR" w:hAnsi="Arial TUR" w:cs="FrankRuehl"/>
          <w:sz w:val="22"/>
          <w:szCs w:val="28"/>
          <w:rtl/>
        </w:rPr>
        <w:tab/>
      </w:r>
      <w:r w:rsidRPr="007D190C">
        <w:rPr>
          <w:rFonts w:cs="Miriam"/>
          <w:sz w:val="28"/>
          <w:rtl/>
        </w:rPr>
        <w:t>חומרת מעשיו של העבריין הקטין</w:t>
      </w:r>
      <w:r w:rsidRPr="007D190C">
        <w:rPr>
          <w:rFonts w:ascii="Arial TUR" w:hAnsi="Arial TUR" w:cs="Miriam"/>
          <w:color w:val="000000"/>
          <w:sz w:val="22"/>
          <w:rtl/>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Pr="007D190C">
        <w:rPr>
          <w:rFonts w:cs="FrankRuehl"/>
          <w:color w:val="000000"/>
          <w:sz w:val="22"/>
          <w:szCs w:val="28"/>
          <w:rtl/>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hyperlink w:history="1">
        <w:r w:rsidRPr="007D190C">
          <w:rPr>
            <w:rFonts w:cs="FrankRuehl"/>
            <w:color w:val="000000"/>
            <w:sz w:val="22"/>
            <w:szCs w:val="28"/>
            <w:u w:val="single"/>
            <w:rtl/>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-Hyperlink Removed-</w:t>
        </w:r>
      </w:hyperlink>
      <w:r w:rsidRPr="007D190C">
        <w:rPr>
          <w:rFonts w:cs="FrankRuehl"/>
          <w:sz w:val="22"/>
          <w:szCs w:val="28"/>
          <w:rtl/>
        </w:rPr>
        <w:t xml:space="preserve"> </w:t>
      </w:r>
      <w:r w:rsidRPr="007D190C">
        <w:rPr>
          <w:rFonts w:cs="Miriam"/>
          <w:sz w:val="28"/>
          <w:rtl/>
        </w:rPr>
        <w:t>הנ"ל</w:t>
      </w:r>
      <w:r w:rsidRPr="007D190C">
        <w:rPr>
          <w:rFonts w:cs="FrankRuehl"/>
          <w:sz w:val="22"/>
          <w:szCs w:val="28"/>
          <w:rtl/>
        </w:rPr>
        <w:t>, פסקה 10].</w:t>
      </w:r>
      <w:r w:rsidRPr="007D190C">
        <w:rPr>
          <w:rFonts w:ascii="Arial TUR" w:hAnsi="Arial TUR" w:cs="FrankRuehl"/>
          <w:sz w:val="22"/>
          <w:szCs w:val="28"/>
          <w:rtl/>
        </w:rPr>
        <w:t xml:space="preserve"> "</w:t>
      </w:r>
    </w:p>
    <w:p w:rsidR="007D190C" w:rsidRPr="007D190C" w:rsidRDefault="007D190C" w:rsidP="007D190C">
      <w:pPr>
        <w:tabs>
          <w:tab w:val="left" w:pos="800"/>
        </w:tabs>
        <w:overflowPunct w:val="0"/>
        <w:autoSpaceDE w:val="0"/>
        <w:autoSpaceDN w:val="0"/>
        <w:adjustRightInd w:val="0"/>
        <w:spacing w:line="360" w:lineRule="auto"/>
        <w:ind w:left="720" w:hanging="720"/>
        <w:jc w:val="both"/>
        <w:rPr>
          <w:rFonts w:ascii="Arial TUR" w:hAnsi="Arial TUR" w:cs="FrankRuehl"/>
          <w:sz w:val="22"/>
          <w:szCs w:val="28"/>
          <w:rtl/>
        </w:rPr>
      </w:pPr>
    </w:p>
    <w:p w:rsidR="007D190C" w:rsidRPr="007D190C" w:rsidRDefault="00DE4D55" w:rsidP="007D190C">
      <w:pPr>
        <w:tabs>
          <w:tab w:val="left" w:pos="800"/>
        </w:tabs>
        <w:overflowPunct w:val="0"/>
        <w:autoSpaceDE w:val="0"/>
        <w:autoSpaceDN w:val="0"/>
        <w:adjustRightInd w:val="0"/>
        <w:spacing w:line="360" w:lineRule="auto"/>
        <w:ind w:left="720" w:hanging="720"/>
        <w:jc w:val="both"/>
        <w:rPr>
          <w:rFonts w:ascii="Arial TUR" w:hAnsi="Arial TUR" w:cs="FrankRuehl"/>
          <w:sz w:val="22"/>
          <w:szCs w:val="28"/>
          <w:rtl/>
        </w:rPr>
      </w:pPr>
      <w:r w:rsidRPr="007D190C">
        <w:rPr>
          <w:rFonts w:ascii="Arial TUR" w:hAnsi="Arial TUR" w:cs="FrankRuehl"/>
          <w:sz w:val="22"/>
          <w:szCs w:val="28"/>
          <w:rtl/>
        </w:rPr>
        <w:t>3.</w:t>
      </w:r>
      <w:r w:rsidRPr="007D190C">
        <w:rPr>
          <w:rFonts w:ascii="Arial TUR" w:hAnsi="Arial TUR" w:cs="FrankRuehl"/>
          <w:sz w:val="22"/>
          <w:szCs w:val="28"/>
          <w:rtl/>
        </w:rPr>
        <w:tab/>
      </w:r>
      <w:r w:rsidRPr="007D190C">
        <w:rPr>
          <w:rFonts w:ascii="David" w:hAnsi="David"/>
          <w:rtl/>
        </w:rPr>
        <w:t>שלושת השיקולים הראשונים המצויים בפסיקה הם שיקולים אובייקטיבים או דיכוטומיים. בעיני שיקולים אלו הם שיקולים המסייעים לקבלת החלטה, אולם אין בכוחם לקבוע או להכריע את ההחלטה בסופו של יום. לעומתם שני השיקולים האחרונים בסעיף ד' ו- ה' הם שיקולים שבכוחם להכריע את ה</w:t>
      </w:r>
      <w:r w:rsidRPr="007D190C">
        <w:rPr>
          <w:rFonts w:ascii="David" w:hAnsi="David"/>
          <w:rtl/>
        </w:rPr>
        <w:t xml:space="preserve">החלטה. כלומר, גילו של הנאשם במועד ביצוע העבירה היא נתון אובייקטיבי וככל שבמועד ביצוע העבירה הוא בוגר יותר הנטייה תהא לכיוון ענישה ולא דרכי טיפול. קבלת אחריות והבעת חרטה היא נתון דיכוטומי ככל שהנאשם יכיר באחריות על המעשים הרי שבית המשפט יאפשר שיקום. לציין, </w:t>
      </w:r>
      <w:r w:rsidRPr="007D190C">
        <w:rPr>
          <w:rFonts w:ascii="David" w:hAnsi="David"/>
          <w:rtl/>
        </w:rPr>
        <w:t>כי חוסר קבלת אחריות אינה מאפשרת שיקום נוכח העדר תובנה לפגם בהתנהגות הנאשם. דוגמא נוספת היא חומרת המעשה זהו משתנה מכריע, ככל שהמעשה יהיה חמור בית המשפט יטה להעניש את הנאשם על פני דרכי טיפול, שכן כאן טמון האינטרס הציבורי, הוא העוול שנגרם לנפגע העבירה והמסר ה</w:t>
      </w:r>
      <w:r w:rsidRPr="007D190C">
        <w:rPr>
          <w:rFonts w:ascii="David" w:hAnsi="David"/>
          <w:rtl/>
        </w:rPr>
        <w:t xml:space="preserve">חברתי הרתעתי שבענישה. </w:t>
      </w:r>
    </w:p>
    <w:p w:rsidR="007D190C" w:rsidRPr="007D190C" w:rsidRDefault="007D190C" w:rsidP="007D190C">
      <w:pPr>
        <w:tabs>
          <w:tab w:val="left" w:pos="800"/>
        </w:tabs>
        <w:overflowPunct w:val="0"/>
        <w:autoSpaceDE w:val="0"/>
        <w:autoSpaceDN w:val="0"/>
        <w:adjustRightInd w:val="0"/>
        <w:spacing w:line="360" w:lineRule="auto"/>
        <w:ind w:left="720" w:hanging="720"/>
        <w:jc w:val="both"/>
        <w:rPr>
          <w:rFonts w:ascii="Arial TUR" w:hAnsi="Arial TUR" w:cs="FrankRuehl"/>
          <w:sz w:val="22"/>
          <w:szCs w:val="28"/>
          <w:rtl/>
        </w:rPr>
      </w:pPr>
    </w:p>
    <w:p w:rsidR="007D190C" w:rsidRPr="007D190C" w:rsidRDefault="00DE4D55" w:rsidP="007D190C">
      <w:pPr>
        <w:tabs>
          <w:tab w:val="left" w:pos="800"/>
        </w:tabs>
        <w:overflowPunct w:val="0"/>
        <w:autoSpaceDE w:val="0"/>
        <w:autoSpaceDN w:val="0"/>
        <w:adjustRightInd w:val="0"/>
        <w:spacing w:line="360" w:lineRule="auto"/>
        <w:ind w:left="720" w:hanging="720"/>
        <w:jc w:val="both"/>
        <w:rPr>
          <w:rFonts w:ascii="David" w:hAnsi="David"/>
          <w:rtl/>
        </w:rPr>
      </w:pPr>
      <w:r w:rsidRPr="007D190C">
        <w:rPr>
          <w:rFonts w:ascii="Arial TUR" w:hAnsi="Arial TUR" w:cs="FrankRuehl"/>
          <w:sz w:val="22"/>
          <w:szCs w:val="28"/>
          <w:rtl/>
        </w:rPr>
        <w:t>4.</w:t>
      </w:r>
      <w:r w:rsidRPr="007D190C">
        <w:rPr>
          <w:rFonts w:ascii="David" w:hAnsi="David"/>
          <w:rtl/>
        </w:rPr>
        <w:tab/>
        <w:t>כעת אני נדרש ליישם את השיקולים השונים על המקרה שלנו.</w:t>
      </w:r>
    </w:p>
    <w:p w:rsidR="007D190C" w:rsidRPr="007D190C" w:rsidRDefault="00DE4D55" w:rsidP="007D190C">
      <w:pPr>
        <w:tabs>
          <w:tab w:val="left" w:pos="800"/>
        </w:tabs>
        <w:overflowPunct w:val="0"/>
        <w:autoSpaceDE w:val="0"/>
        <w:autoSpaceDN w:val="0"/>
        <w:adjustRightInd w:val="0"/>
        <w:spacing w:line="360" w:lineRule="auto"/>
        <w:ind w:left="720" w:hanging="720"/>
        <w:jc w:val="both"/>
        <w:rPr>
          <w:rFonts w:ascii="Arial TUR" w:hAnsi="Arial TUR" w:cs="FrankRuehl"/>
          <w:sz w:val="22"/>
          <w:szCs w:val="28"/>
          <w:rtl/>
        </w:rPr>
      </w:pPr>
      <w:r w:rsidRPr="007D190C">
        <w:rPr>
          <w:rFonts w:ascii="David" w:hAnsi="David"/>
          <w:rtl/>
        </w:rPr>
        <w:tab/>
        <w:t xml:space="preserve">א. </w:t>
      </w:r>
      <w:r w:rsidRPr="007D190C">
        <w:rPr>
          <w:rFonts w:ascii="David" w:hAnsi="David"/>
          <w:u w:val="single"/>
          <w:rtl/>
        </w:rPr>
        <w:t>השיקול המסייע הראשון</w:t>
      </w:r>
      <w:r w:rsidRPr="007D190C">
        <w:rPr>
          <w:rFonts w:ascii="David" w:hAnsi="David"/>
          <w:rtl/>
        </w:rPr>
        <w:t xml:space="preserve"> הוא </w:t>
      </w:r>
      <w:r w:rsidRPr="007D190C">
        <w:rPr>
          <w:rFonts w:cs="Miriam"/>
          <w:b/>
          <w:bCs/>
          <w:sz w:val="28"/>
          <w:rtl/>
        </w:rPr>
        <w:t>גילו של העבריין הקטין בעת ביצוע העבירה</w:t>
      </w:r>
      <w:r w:rsidRPr="007D190C">
        <w:rPr>
          <w:rFonts w:cs="FrankRuehl"/>
          <w:b/>
          <w:bCs/>
          <w:sz w:val="22"/>
          <w:szCs w:val="28"/>
          <w:rtl/>
        </w:rPr>
        <w:t>.</w:t>
      </w:r>
      <w:r w:rsidRPr="007D190C">
        <w:rPr>
          <w:rFonts w:cs="FrankRuehl"/>
          <w:sz w:val="22"/>
          <w:szCs w:val="28"/>
          <w:rtl/>
        </w:rPr>
        <w:t xml:space="preserve"> </w:t>
      </w:r>
      <w:r w:rsidRPr="007D190C">
        <w:rPr>
          <w:rFonts w:ascii="David" w:hAnsi="David"/>
          <w:rtl/>
        </w:rPr>
        <w:t>הנאשם ביצע את העבירות כשהוא בן 13-15 ללא ספק מדובר בקטין צעיר מאד. כיום הנאשם הוא בן 17 וארבעה חודשים. אולם</w:t>
      </w:r>
      <w:r w:rsidRPr="007D190C">
        <w:rPr>
          <w:rFonts w:ascii="David" w:hAnsi="David"/>
          <w:rtl/>
        </w:rPr>
        <w:t xml:space="preserve"> המועד הקובע הוא כמובן מועד ביצוע העבירה ובכך אתחשב.</w:t>
      </w:r>
    </w:p>
    <w:p w:rsidR="007D190C" w:rsidRPr="007D190C" w:rsidRDefault="007D190C" w:rsidP="007D190C">
      <w:pPr>
        <w:spacing w:after="160" w:line="252" w:lineRule="auto"/>
        <w:ind w:left="720"/>
        <w:contextualSpacing/>
        <w:rPr>
          <w:rFonts w:ascii="David" w:eastAsia="Calibri" w:hAnsi="David"/>
          <w:rtl/>
        </w:rPr>
      </w:pPr>
    </w:p>
    <w:p w:rsidR="007D190C" w:rsidRPr="007D190C" w:rsidRDefault="00DE4D55" w:rsidP="007D190C">
      <w:pPr>
        <w:tabs>
          <w:tab w:val="left" w:pos="800"/>
        </w:tabs>
        <w:overflowPunct w:val="0"/>
        <w:autoSpaceDE w:val="0"/>
        <w:autoSpaceDN w:val="0"/>
        <w:adjustRightInd w:val="0"/>
        <w:spacing w:after="160" w:line="360" w:lineRule="auto"/>
        <w:ind w:left="720"/>
        <w:jc w:val="both"/>
        <w:rPr>
          <w:rFonts w:ascii="David" w:hAnsi="David"/>
          <w:rtl/>
        </w:rPr>
      </w:pPr>
      <w:r w:rsidRPr="007D190C">
        <w:rPr>
          <w:rFonts w:ascii="David" w:hAnsi="David"/>
          <w:rtl/>
        </w:rPr>
        <w:t xml:space="preserve">ב. </w:t>
      </w:r>
      <w:r w:rsidRPr="007D190C">
        <w:rPr>
          <w:rFonts w:ascii="David" w:hAnsi="David"/>
          <w:u w:val="single"/>
          <w:rtl/>
        </w:rPr>
        <w:t>השיקול המסייע השני</w:t>
      </w:r>
      <w:r w:rsidRPr="007D190C">
        <w:rPr>
          <w:rFonts w:ascii="David" w:hAnsi="David"/>
          <w:rtl/>
        </w:rPr>
        <w:t xml:space="preserve"> הוא </w:t>
      </w:r>
      <w:r w:rsidRPr="007D190C">
        <w:rPr>
          <w:rFonts w:cs="Miriam"/>
          <w:b/>
          <w:bCs/>
          <w:sz w:val="28"/>
          <w:rtl/>
        </w:rPr>
        <w:t>האם מביע העבריין הקטין חרטה כנה על ביצוע העבירה והאם נוטל הוא אחריות למעשיו</w:t>
      </w:r>
      <w:r w:rsidRPr="007D190C">
        <w:rPr>
          <w:rFonts w:cs="Miriam"/>
          <w:sz w:val="28"/>
          <w:rtl/>
        </w:rPr>
        <w:t xml:space="preserve"> </w:t>
      </w:r>
      <w:r w:rsidRPr="007D190C">
        <w:rPr>
          <w:rFonts w:ascii="David" w:hAnsi="David"/>
          <w:rtl/>
        </w:rPr>
        <w:t>שיקול זה לכאורה פשוט לקביעה, אולם לא כך מהאמור בתסקיר. במובן הדיכוטומי של שאלה זו, הנאשם בדבריו בבית</w:t>
      </w:r>
      <w:r w:rsidRPr="007D190C">
        <w:rPr>
          <w:rFonts w:ascii="David" w:hAnsi="David"/>
          <w:rtl/>
        </w:rPr>
        <w:t xml:space="preserve"> המשפט אמר "</w:t>
      </w:r>
      <w:r w:rsidRPr="007D190C">
        <w:rPr>
          <w:rFonts w:ascii="David" w:hAnsi="David"/>
          <w:b/>
          <w:bCs/>
          <w:spacing w:val="10"/>
          <w:rtl/>
        </w:rPr>
        <w:t>ואני חושב שאני רוצה לבקש להתנצל בפני כל הבנות שפגעתי בהן. היו הרבה דברים בתפקוד שלי שלא היו טובים ומרגע שבימ"ש נתן לי הזדמנות טיפולית לפני שנה וחצי שאני נמצא מחוץ לבית במסגרות טיפוליות אני עושה דרך ארוכה להשתנות.</w:t>
      </w:r>
      <w:r w:rsidRPr="007D190C">
        <w:rPr>
          <w:rFonts w:ascii="David" w:hAnsi="David"/>
          <w:b/>
          <w:bCs/>
          <w:rtl/>
        </w:rPr>
        <w:t>"</w:t>
      </w:r>
      <w:r w:rsidRPr="007D190C">
        <w:rPr>
          <w:rFonts w:ascii="David" w:hAnsi="David"/>
          <w:rtl/>
        </w:rPr>
        <w:t xml:space="preserve"> מדברים אלו ניתן ללמוד כי הנאשם</w:t>
      </w:r>
      <w:r w:rsidRPr="007D190C">
        <w:rPr>
          <w:rFonts w:ascii="David" w:hAnsi="David"/>
          <w:rtl/>
        </w:rPr>
        <w:t xml:space="preserve"> מכיר באחריותו למעשה ומביע חרטה על מעשיו. לכן שאלה זו צריכה לקבל מענה של "הן", הנאשם לוקח אחריות על מעשיו ומביע חרטה. הקושי העיקרי העולה מתסקירי שירות המבחן אינו קשור בלקיחת האחריות המשפטית אלא בלקיחת אחריות טיפולית הקשורה בשיקום הנאשם. זוהי לקיחת אחריות ש</w:t>
      </w:r>
      <w:r w:rsidRPr="007D190C">
        <w:rPr>
          <w:rFonts w:ascii="David" w:hAnsi="David"/>
          <w:rtl/>
        </w:rPr>
        <w:t xml:space="preserve">ונה מזו המשפטית כי היא קשורה ביכולת של הנאשם לקדם את ההליך הטיפולי. עד שאדם אינו מבין לעומק את גודל הבעיה בצורה מלאה הוא יכול לטפל רק בחלקים שהוא מבין שאינם כשורה. מהאמור בתסקיר שירות המבחן ניתן לקבוע כי התשובה למידת האחריות הטיפולית היא מורכבת יותר. </w:t>
      </w:r>
      <w:r w:rsidRPr="007D190C">
        <w:rPr>
          <w:rFonts w:ascii="David" w:hAnsi="David"/>
          <w:rtl/>
        </w:rPr>
        <w:lastRenderedPageBreak/>
        <w:t>בתסקי</w:t>
      </w:r>
      <w:r w:rsidRPr="007D190C">
        <w:rPr>
          <w:rFonts w:ascii="David" w:hAnsi="David"/>
          <w:rtl/>
        </w:rPr>
        <w:t>ר הראשון שהוגש לבית המשפט כלל לא הייתה התייחסות לשאלה זו בנסיבות שאינן קשורות בהכרח בנאשם. בתסקיר מיום 15.03.23 לעניין קבלת האחריות בסעיף 4 עולה כי במהלך ההכנה להשתלבות בקבוצת פוגעים מינית. נראה כי לקיחת האחריות הייתה ראשונית למעשיו, התקשה הנאשם להביע את ה</w:t>
      </w:r>
      <w:r w:rsidRPr="007D190C">
        <w:rPr>
          <w:rFonts w:ascii="David" w:hAnsi="David"/>
          <w:rtl/>
        </w:rPr>
        <w:t>קושי ולהביא את עצמו "האמיתי" לטיפול, קושי זה התעורר בשל מורכבות פסיכיאטרית כאמור בתסקיר. בסייפה לסעיף 4 עולה כי הנאשם ביטא ניצני תובנות ביחס למעשיו, אולם הוא התקשה להרחיב אודות כך ולערוך התבוננות פנימית מעמיקה. בהמשך בסעיף 5 לתסקיר ציין שירות המבחן כי כחלק</w:t>
      </w:r>
      <w:r w:rsidRPr="007D190C">
        <w:rPr>
          <w:rFonts w:ascii="David" w:hAnsi="David"/>
          <w:rtl/>
        </w:rPr>
        <w:t xml:space="preserve"> מהתנהגותו במעון וכחלק משיח על העבירה עלה דפוס התנהגות לפיו הנאשם ניסה להשיג את הדברים בקלות, ללא מאמץ ולעיתים אף מבלי לברר את הצרכים והרגשות של הצד השני ומבלי להבין לעומק את ההשלכות התנהגותו. בתסקיר שהוגש לקראת יום הטיעונים לעונש מיום 24.04.23 בסעיף 4 עמ'</w:t>
      </w:r>
      <w:r w:rsidRPr="007D190C">
        <w:rPr>
          <w:rFonts w:ascii="David" w:hAnsi="David"/>
          <w:rtl/>
        </w:rPr>
        <w:t xml:space="preserve"> 6 לתסקיר נאמר, שהנאשם נדרש לקחת אחריות מלאה על המעשים והשלכותיהם. במסגרת הריאיון לקבלה לקבוצת הטיפול, הריאיון בתחילתו התקיים בנוכחות הוריו דבר שהקשה על קבלת אחריות הנדרשת. בהמשך לאחר צאת ההורים מהריאיון הצליח הנאשם להתייחס באופן מותאם יותר לעבירות שביצע, </w:t>
      </w:r>
      <w:r w:rsidRPr="007D190C">
        <w:rPr>
          <w:rFonts w:ascii="David" w:hAnsi="David"/>
          <w:rtl/>
        </w:rPr>
        <w:t>גילה הבנה לחומרת מצבו והשלכות הדברים, בנסיבות אלו הנאשם שולב בהליך טיפולי. בהמשך שירות המבחן ציין כי כלל גורמי הטיפול מתרשמים כי בתהליך עיבוד העבירות ולקיחת האחריות, לעיתים הנאשם מגלה קושי להתבטא באותנטיות וזאת עקב רמת חרדה גבוהה וקושי להתחבר רגשית לעצמו ו</w:t>
      </w:r>
      <w:r w:rsidRPr="007D190C">
        <w:rPr>
          <w:rFonts w:ascii="David" w:hAnsi="David"/>
          <w:rtl/>
        </w:rPr>
        <w:t>למעשיו. מכל האמור ניתן לקבוע בצורה די ברורה כי הנאשם לוקח אחריות משפטית ובשום שלב לא שמעתי במהלך הדיונים כי הנאשם הטיל דופי באחריות שלקח, ואולם לגבי האחריות הטיפולית הדרושה לצורך קידום ההליך הטיפולי ספק בעיני אם אכן יש לקיחת אחריות מספקת בשלב הטיפולי הנוכח</w:t>
      </w:r>
      <w:r w:rsidRPr="007D190C">
        <w:rPr>
          <w:rFonts w:ascii="David" w:hAnsi="David"/>
          <w:rtl/>
        </w:rPr>
        <w:t xml:space="preserve">י. </w:t>
      </w:r>
    </w:p>
    <w:p w:rsidR="007D190C" w:rsidRPr="007D190C" w:rsidRDefault="00DE4D55" w:rsidP="007D190C">
      <w:pPr>
        <w:tabs>
          <w:tab w:val="left" w:pos="800"/>
        </w:tabs>
        <w:overflowPunct w:val="0"/>
        <w:autoSpaceDE w:val="0"/>
        <w:autoSpaceDN w:val="0"/>
        <w:adjustRightInd w:val="0"/>
        <w:spacing w:after="160" w:line="360" w:lineRule="auto"/>
        <w:ind w:left="720"/>
        <w:jc w:val="both"/>
        <w:rPr>
          <w:rFonts w:ascii="David" w:hAnsi="David"/>
          <w:spacing w:val="10"/>
          <w:u w:val="single"/>
        </w:rPr>
      </w:pPr>
      <w:r w:rsidRPr="007D190C">
        <w:rPr>
          <w:rFonts w:ascii="David" w:hAnsi="David"/>
          <w:rtl/>
        </w:rPr>
        <w:t xml:space="preserve">ג. </w:t>
      </w:r>
      <w:r w:rsidRPr="007D190C">
        <w:rPr>
          <w:rFonts w:ascii="David" w:hAnsi="David"/>
          <w:u w:val="single"/>
          <w:rtl/>
        </w:rPr>
        <w:t xml:space="preserve">השיקול המסייע השלישי </w:t>
      </w:r>
      <w:r w:rsidRPr="007D190C">
        <w:rPr>
          <w:rFonts w:cs="Miriam"/>
          <w:b/>
          <w:bCs/>
          <w:sz w:val="28"/>
          <w:rtl/>
        </w:rPr>
        <w:t>עברו הפלילי של העבריין הקטין</w:t>
      </w:r>
      <w:r w:rsidRPr="007D190C">
        <w:rPr>
          <w:rFonts w:cs="FrankRuehl"/>
          <w:b/>
          <w:bCs/>
          <w:sz w:val="22"/>
          <w:szCs w:val="28"/>
          <w:rtl/>
        </w:rPr>
        <w:t>.</w:t>
      </w:r>
      <w:r w:rsidRPr="007D190C">
        <w:rPr>
          <w:rFonts w:cs="FrankRuehl"/>
          <w:sz w:val="22"/>
          <w:szCs w:val="28"/>
          <w:rtl/>
        </w:rPr>
        <w:t xml:space="preserve"> </w:t>
      </w:r>
      <w:r w:rsidRPr="007D190C">
        <w:rPr>
          <w:rFonts w:ascii="David" w:hAnsi="David"/>
          <w:rtl/>
        </w:rPr>
        <w:t>זהו גם כן סעיף דיכוטומי, במובן זה שבית המשפט בוחן האם יש או אין לנאשם רישום פלילי. במקרה הנוכחי, התשובה לכך שלילית.</w:t>
      </w:r>
    </w:p>
    <w:p w:rsidR="007D190C" w:rsidRPr="007D190C" w:rsidRDefault="00DE4D55" w:rsidP="007D190C">
      <w:pPr>
        <w:tabs>
          <w:tab w:val="left" w:pos="800"/>
        </w:tabs>
        <w:overflowPunct w:val="0"/>
        <w:autoSpaceDE w:val="0"/>
        <w:autoSpaceDN w:val="0"/>
        <w:adjustRightInd w:val="0"/>
        <w:spacing w:after="160" w:line="360" w:lineRule="auto"/>
        <w:ind w:left="720"/>
        <w:jc w:val="both"/>
        <w:rPr>
          <w:rFonts w:ascii="David" w:hAnsi="David"/>
        </w:rPr>
      </w:pPr>
      <w:r w:rsidRPr="007D190C">
        <w:rPr>
          <w:rFonts w:ascii="David" w:hAnsi="David"/>
          <w:rtl/>
        </w:rPr>
        <w:t>ד.</w:t>
      </w:r>
      <w:r w:rsidRPr="007D190C">
        <w:rPr>
          <w:rFonts w:ascii="David" w:hAnsi="David"/>
          <w:u w:val="single"/>
          <w:rtl/>
        </w:rPr>
        <w:t xml:space="preserve"> השיקול המכריע הרביעי </w:t>
      </w:r>
      <w:r w:rsidRPr="007D190C">
        <w:rPr>
          <w:rFonts w:cs="Miriam"/>
          <w:b/>
          <w:bCs/>
          <w:sz w:val="28"/>
          <w:rtl/>
        </w:rPr>
        <w:t>סיכויי השיקום של העבריין הקטין</w:t>
      </w:r>
      <w:r w:rsidRPr="007D190C">
        <w:rPr>
          <w:rFonts w:cs="FrankRuehl"/>
          <w:b/>
          <w:bCs/>
          <w:sz w:val="22"/>
          <w:szCs w:val="28"/>
          <w:rtl/>
        </w:rPr>
        <w:t xml:space="preserve">. </w:t>
      </w:r>
      <w:r w:rsidRPr="007D190C">
        <w:rPr>
          <w:rFonts w:ascii="David" w:hAnsi="David"/>
          <w:rtl/>
        </w:rPr>
        <w:t xml:space="preserve">שאלה זו היא שאלה מורכבת ביותר שכן היא עוסקת באומדן. שאלת פרוגנוזה צופה פני עתיד לעולם נשענת על המידע הידוע לבית המשפט במועד מתן ההחלטה ויכולה להשתנות בכל רגע נתון. האומדן תלוי במצב הפסיכיאטרי בו מצוי הנאשם בשלבים השונים של הטיפול. ככל שהנאשם יתקדם בטיפול, </w:t>
      </w:r>
      <w:r w:rsidRPr="007D190C">
        <w:rPr>
          <w:rFonts w:ascii="David" w:hAnsi="David"/>
          <w:rtl/>
        </w:rPr>
        <w:t>יוכל לשלוט בהתנהגותו ולהציב לעצמו גבולות הרי שברור שהסיכון ממנו יפחת. אולם, השאלה הנדרשת למענה היא לא אם יתקדם הנאשם בטיפול והסיכון ממנו יפחת כפי שתסקיר שירות המבחן מצדד, דבר זה הוא הברור מעליו ונכון לכלל עוברי החוק באשר הם. השאלה במקרה שלנו היא כאן ועכשיו</w:t>
      </w:r>
      <w:r w:rsidRPr="007D190C">
        <w:rPr>
          <w:rFonts w:ascii="David" w:hAnsi="David"/>
          <w:rtl/>
        </w:rPr>
        <w:t xml:space="preserve"> וכיצד בית המשפט יכול לאמוד את הנתונים שיש בפניו בנקודת זמן זו ללמוד ממנו לעתיד לבוא. הנתונים שיש בפני בית המשפט הם אלו, </w:t>
      </w:r>
      <w:r w:rsidRPr="007D190C">
        <w:rPr>
          <w:rFonts w:ascii="David" w:hAnsi="David"/>
          <w:u w:val="single"/>
          <w:rtl/>
        </w:rPr>
        <w:t xml:space="preserve">הנתון </w:t>
      </w:r>
      <w:r w:rsidRPr="007D190C">
        <w:rPr>
          <w:rFonts w:ascii="David" w:hAnsi="David"/>
          <w:u w:val="single"/>
          <w:rtl/>
        </w:rPr>
        <w:lastRenderedPageBreak/>
        <w:t>הראשון</w:t>
      </w:r>
      <w:r w:rsidRPr="007D190C">
        <w:rPr>
          <w:rFonts w:ascii="David" w:hAnsi="David"/>
          <w:rtl/>
        </w:rPr>
        <w:t>, האבחון שנעשה לנאשם ע"י גורמי טיפול לפיהם הנאשם סובל מהתמודדות חרדתית, בנוסף מבעיות אישיותיות אותן לא אפרט. נתון זה הוא נת</w:t>
      </w:r>
      <w:r w:rsidRPr="007D190C">
        <w:rPr>
          <w:rFonts w:ascii="David" w:hAnsi="David"/>
          <w:rtl/>
        </w:rPr>
        <w:t>ון קשיח שכן אין בטיפול המוצע כדי לשנות מאישיותו של הנאשם, אלא ככל הניתן לעשות הוא להביא למודעות הנאשם את הצורך לרסן מצבים נפשיים בשעת דחק הקשורים לאבחון שנעשה לו. אין לבית המשפט אף דרך לומר כי בשעת מבחן ודחק בה יהיה מצוי הנאשם, הוא אכן ירסן התנהגותו, התסקי</w:t>
      </w:r>
      <w:r w:rsidRPr="007D190C">
        <w:rPr>
          <w:rFonts w:ascii="David" w:hAnsi="David"/>
          <w:rtl/>
        </w:rPr>
        <w:t xml:space="preserve">ר אינו מתייחס שלשאלה זו והיא בגדר תעלומה. </w:t>
      </w:r>
      <w:r w:rsidRPr="007D190C">
        <w:rPr>
          <w:rFonts w:ascii="David" w:hAnsi="David"/>
          <w:u w:val="single"/>
          <w:rtl/>
        </w:rPr>
        <w:t>הנתון השני</w:t>
      </w:r>
      <w:r w:rsidRPr="007D190C">
        <w:rPr>
          <w:rFonts w:ascii="David" w:hAnsi="David"/>
          <w:rtl/>
        </w:rPr>
        <w:t>, כשל טיפולי בעבר. שירות המבחן ציין בתסקיר כי הנאשם מוכר לו מהעבר בעבירה בתחום הסמים המסוכנים. באפריל 2021 נעשתה פנייה של המשטרה לשירות המבחן שציין כי הנאשם התקשה לשתף פעולה באופן מלא לאחר שהופנה לטיפול ב</w:t>
      </w:r>
      <w:r w:rsidRPr="007D190C">
        <w:rPr>
          <w:rFonts w:ascii="David" w:hAnsi="David"/>
          <w:rtl/>
        </w:rPr>
        <w:t xml:space="preserve">"מרכז שחף", שהינה יחידה עירונית לטיפול בבני נוער. דיווח שירות המבחן הוא כי הנאשם התקשה לשתף פעולה, לא התמיד בטיפול והטיפול הופסק. </w:t>
      </w:r>
      <w:r w:rsidRPr="007D190C">
        <w:rPr>
          <w:rFonts w:ascii="David" w:hAnsi="David"/>
          <w:u w:val="single"/>
          <w:rtl/>
        </w:rPr>
        <w:t>נתון שלישי</w:t>
      </w:r>
      <w:r w:rsidRPr="007D190C">
        <w:rPr>
          <w:rFonts w:ascii="David" w:hAnsi="David"/>
          <w:rtl/>
        </w:rPr>
        <w:t>, הוא ההשתלבות של הנאשם בהליך הטיפולי הנוכחי. אכן הנאשם השתלב בהליך טיפולי בתיק הנוכחי במסגרת חלופת המעצר בה הוא מצו</w:t>
      </w:r>
      <w:r w:rsidRPr="007D190C">
        <w:rPr>
          <w:rFonts w:ascii="David" w:hAnsi="David"/>
          <w:rtl/>
        </w:rPr>
        <w:t>י של חסות הנוער. אולם לא ניתן להתעלם מהעובדה כי התקדמותו של הנאשם בהליך הטיפולי היא איטית עד לא מספקת. הנאשם נעצר ביום 09.12.21. ביום 15.12.21 הנאשם הועבר לכלא אופק. בחודש ינואר 2022 הנאשם נקלט במעון אבחוני "נווה חורש". ב- 11.07.22 נקלט הנאשם במעון "מצפה י</w:t>
      </w:r>
      <w:r w:rsidRPr="007D190C">
        <w:rPr>
          <w:rFonts w:ascii="David" w:hAnsi="David"/>
          <w:rtl/>
        </w:rPr>
        <w:t>ם" בהרצליה. הנאשם שוהה במעון מאז ועד היום. בתקופה של כמעט עשרה חודשים עד למועד הטיעונים לעונש. לאחר עבודת הכנה ממושכת נקלט הנאשם בקבוצה טיפולית לנערים שביצועו עבירות מין ביום 20.02.23. התמשכות הזמן בשיתוף פעולה של הנאשם עם ההליך הטיפולי והקושי בקידומו כולם</w:t>
      </w:r>
      <w:r w:rsidRPr="007D190C">
        <w:rPr>
          <w:rFonts w:ascii="David" w:hAnsi="David"/>
          <w:rtl/>
        </w:rPr>
        <w:t xml:space="preserve"> לפתחו של הנאשם. ההליכים התמשכו בשל קשיים של הנאשם בקידום ההליך הטיפולי. גם הדיווח של שירות המבחן מאז הגעתו לקבוצה הטיפולית ועד לדיון הטיעונים לעונש מבטא קושי אמתי של הנאשם לקדם את הטיפול. שירות המבחן מדווח בעמוד 7 פסקה ראשונה כי עד למועד הדיון התקיימו 8 מ</w:t>
      </w:r>
      <w:r w:rsidRPr="007D190C">
        <w:rPr>
          <w:rFonts w:ascii="David" w:hAnsi="David"/>
          <w:rtl/>
        </w:rPr>
        <w:t>פגשים, הנאשם השתתף בכולם. מנחי הקבוצה התרשמו כי הנאשם נמצא בשלבים ראשונים בתהליך הקבוצתי ובהתאם לכך עסוק בהתמקמות ולמידת השפה הטיפולית. יחד עם זאת, ציין שירות המבחן כי קיימים מצבים בהם התנהגות הנאשם בקבוצה אינו תואמת בהכרח את תקופת שהותו בקבוצה, על פי האמו</w:t>
      </w:r>
      <w:r w:rsidRPr="007D190C">
        <w:rPr>
          <w:rFonts w:ascii="David" w:hAnsi="David"/>
          <w:rtl/>
        </w:rPr>
        <w:t>ר בתסקיר, הדבר בא לידי ביטוי בכך שלעיתים קרובות נחווה הנאשם כלא אותנטי ומרצה, הן את הקבוצה והן את המנחים. התמשכות ההליך הטיפולי וחוסר הכרה לנדרש מהנאשם, מאפיין את הנאשם לאורך כל ההליך הטיפולי בגורמי הטיפול השונים, יש לציין כי המשיב היה גם תקופה ארוכה מאד ב</w:t>
      </w:r>
      <w:r w:rsidRPr="007D190C">
        <w:rPr>
          <w:rFonts w:ascii="David" w:hAnsi="David"/>
          <w:rtl/>
        </w:rPr>
        <w:t xml:space="preserve">מעון האבחוני נווה חורש מבלי שניתן לבית המשפט הסבר מספק למשך הזמן הארוך של האבחון. </w:t>
      </w:r>
      <w:r w:rsidRPr="007D190C">
        <w:rPr>
          <w:rFonts w:ascii="David" w:hAnsi="David"/>
          <w:u w:val="single"/>
          <w:rtl/>
        </w:rPr>
        <w:t xml:space="preserve">נתון רביעי </w:t>
      </w:r>
      <w:r w:rsidRPr="007D190C">
        <w:rPr>
          <w:rFonts w:ascii="David" w:hAnsi="David"/>
          <w:rtl/>
        </w:rPr>
        <w:t>פרוגנוזת הטיפול של שירות המבחן, עמ' 10 לתסקיר, סבור שירות המבחן כי הנאשם נמצא בשלב התפתחותי התחלתי בתהליך הטיפול הזקוק להמשכם של גבולות ברורים ועבודה ההתנהגותית במ</w:t>
      </w:r>
      <w:r w:rsidRPr="007D190C">
        <w:rPr>
          <w:rFonts w:ascii="David" w:hAnsi="David"/>
          <w:rtl/>
        </w:rPr>
        <w:t xml:space="preserve">עון על מנת לאיין מסוכנות עתידית לפגיעה חוזרות. שירות המבחן סבור כי זקוק הנאשם לטיפול ארוך טווח אינטנסיבי ומשמעותי במסגרת המעון. בכדי לייצר תיקון </w:t>
      </w:r>
      <w:r w:rsidRPr="007D190C">
        <w:rPr>
          <w:rFonts w:ascii="David" w:hAnsi="David"/>
          <w:rtl/>
        </w:rPr>
        <w:lastRenderedPageBreak/>
        <w:t xml:space="preserve">ושינוי בתפיסת עולמו, דפוסי התנהגותו ומאפייני אישיותו. שירות המבחן אינו נותן הסבר מספק מדוע נדרש הליך ארוך טווח </w:t>
      </w:r>
      <w:r w:rsidRPr="007D190C">
        <w:rPr>
          <w:rFonts w:ascii="David" w:hAnsi="David"/>
          <w:rtl/>
        </w:rPr>
        <w:t xml:space="preserve">והתרשמותי היא כי הצורך בהליך הארוך קשורה ביכולות ובתובנה של הנאשם לעבור את ההליך אם בכלל. </w:t>
      </w:r>
      <w:r w:rsidRPr="007D190C">
        <w:rPr>
          <w:rFonts w:ascii="David" w:hAnsi="David"/>
          <w:u w:val="single"/>
          <w:rtl/>
        </w:rPr>
        <w:t>נתון חמישי</w:t>
      </w:r>
      <w:r w:rsidRPr="007D190C">
        <w:rPr>
          <w:rFonts w:ascii="David" w:hAnsi="David"/>
          <w:rtl/>
        </w:rPr>
        <w:t xml:space="preserve"> במישור הלימודי והתפקודי שירות המבחן כותב כי הנאשם מתפקד בצורה חיובית מאד, במישור החברתי הנאשם מצליח ליצור קשרים חברתיים והוא אף מהווה דמות דומיננטית בקבוצת</w:t>
      </w:r>
      <w:r w:rsidRPr="007D190C">
        <w:rPr>
          <w:rFonts w:ascii="David" w:hAnsi="David"/>
          <w:rtl/>
        </w:rPr>
        <w:t xml:space="preserve"> השווים. יחד עם זאת, שירות המבחן ציין כי קיים קושי ביצירת קשר חברתי מעמיק וזאת כאמור בתסקיר. בשל פרטיותו של הנאשם לא מצאתי לפרט בכך בגזר הדין. לסיכום, אציין כי הפער בין היכולות של הנאשם בתחומים אחרים שאינם תחום הטיפול לעומת הקושי הניכר שעולה מתמונת הטיפול </w:t>
      </w:r>
      <w:r w:rsidRPr="007D190C">
        <w:rPr>
          <w:rFonts w:ascii="David" w:hAnsi="David"/>
          <w:rtl/>
        </w:rPr>
        <w:t xml:space="preserve">אינה מרמזת טובות לפרוגנוזת הטיפול. התרשמותי כי הנאשם במקומות שהוא יכול להתמודד איתם קוגניטיבית ופסיכיאטרית הוא מקדם ומשתלב בהם ראו הדיווח הלימודי תפקודי, אולם מקום בו קיים מחסום פסיכיאטרי יש קושי אמתי, לדוגמא היכולת לקדם את הטיפול ראו הדיווח החברתי טיפולי </w:t>
      </w:r>
      <w:r w:rsidRPr="007D190C">
        <w:rPr>
          <w:rFonts w:ascii="David" w:hAnsi="David"/>
          <w:rtl/>
        </w:rPr>
        <w:t xml:space="preserve">בתסקיר. נוכח האמור והעובדה כי שיקול זה הוא בעל ממד צופה פני עתיד ניתן לקבוע כי קיים אופק שיקומי באופן כללי, אולם אופק זה אינו נקי מספקות וקיימים בו קשיים אמתיים נוכח כשל טיפולי קודם ויכולת קידום ההליך הטיפולי כיום שנעשה באיטיות, הכשלים קיימים באופן ההתנעה </w:t>
      </w:r>
      <w:r w:rsidRPr="007D190C">
        <w:rPr>
          <w:rFonts w:ascii="David" w:hAnsi="David"/>
          <w:rtl/>
        </w:rPr>
        <w:t>של ההליך השיקומי, באופן לא מספק במידת המחויבות של הנאשם להליך וההבנה שלו את מטרות הטיפול. בית המשפט ער לעובדה כי מדובר בקטין, אולם כיום לא מדובר בקטין צעיר בימים אלא בקטין המשתייך לשכבה בוגרת של הקטינים, ניתן היה לצפות כי הנאשם יקדם בצורה רצינית יותר את הט</w:t>
      </w:r>
      <w:r w:rsidRPr="007D190C">
        <w:rPr>
          <w:rFonts w:ascii="David" w:hAnsi="David"/>
          <w:rtl/>
        </w:rPr>
        <w:t xml:space="preserve">יפול. בנוסף הנאשם סובל מקשיים אישיותיים שיש בהם להקשות בצורה ניכרת לקבוע פרוגנוזה חיובית לשיקום. </w:t>
      </w:r>
    </w:p>
    <w:p w:rsidR="007D190C" w:rsidRPr="007D190C" w:rsidRDefault="00DE4D55" w:rsidP="007D190C">
      <w:pPr>
        <w:spacing w:after="160" w:line="360" w:lineRule="auto"/>
        <w:ind w:left="720"/>
        <w:contextualSpacing/>
        <w:jc w:val="both"/>
        <w:rPr>
          <w:rFonts w:ascii="David" w:eastAsia="Calibri" w:hAnsi="David"/>
        </w:rPr>
      </w:pPr>
      <w:r w:rsidRPr="007D190C">
        <w:rPr>
          <w:rFonts w:ascii="David" w:eastAsia="Calibri" w:hAnsi="David"/>
          <w:rtl/>
        </w:rPr>
        <w:t xml:space="preserve">ה. שיקול מכריע חמישי </w:t>
      </w:r>
      <w:r w:rsidRPr="007D190C">
        <w:rPr>
          <w:rFonts w:eastAsia="Calibri" w:cs="Miriam"/>
          <w:b/>
          <w:bCs/>
          <w:sz w:val="28"/>
          <w:rtl/>
        </w:rPr>
        <w:t>חומרת מעשיו של העבריין הקטין.</w:t>
      </w:r>
      <w:r w:rsidRPr="007D190C">
        <w:rPr>
          <w:rFonts w:eastAsia="Calibri" w:cs="Miriam"/>
          <w:sz w:val="28"/>
          <w:rtl/>
        </w:rPr>
        <w:t xml:space="preserve"> </w:t>
      </w:r>
      <w:r w:rsidRPr="007D190C">
        <w:rPr>
          <w:rFonts w:ascii="David" w:eastAsia="Calibri" w:hAnsi="David"/>
          <w:rtl/>
        </w:rPr>
        <w:t>שיקול זה הוא שיקול מכריע הפועל בצורה רבה לחומרה במקרה הנוכחי. חומרת מעשיו של הנאשם היא ברמה גבוהה. גם אם הי</w:t>
      </w:r>
      <w:r w:rsidRPr="007D190C">
        <w:rPr>
          <w:rFonts w:ascii="David" w:eastAsia="Calibri" w:hAnsi="David"/>
          <w:rtl/>
        </w:rPr>
        <w:t>יתי מוכן להניח לטובת הנאשם כי כל אחד מהמקרים כשלעצמם אינו מעשה ברף חומרה גבוה של עבירות המין. שעה שהנאשם לא ביצע עבירות אלימות נוספות מעבר לאלימות המינית. הרי שצבר המעשים יוצר תמונה עגומה וקשה. מדובר בשישה אישומים כנגד נפגעות עבירה שהיו בין הגילאים 13-15 כ</w:t>
      </w:r>
      <w:r w:rsidRPr="007D190C">
        <w:rPr>
          <w:rFonts w:ascii="David" w:eastAsia="Calibri" w:hAnsi="David"/>
          <w:rtl/>
        </w:rPr>
        <w:t>אשר כנגד שתים מהן בוצעו עבירות אינוס ולגבי יתר נפגעות העבירה בוצעו עבירות של מעשים מגונים וניסיון אינוס. מדובר בשש נפגעות עבירה שכל אחת מהן היא עולם ומלואו וכל אחת חרב עליה עולמה. נפגעות העבירה הופיעו לפנינו ואם ניתן לומר משהו על עוצמת הפגיעה, ניתן לומר כי</w:t>
      </w:r>
      <w:r w:rsidRPr="007D190C">
        <w:rPr>
          <w:rFonts w:ascii="David" w:eastAsia="Calibri" w:hAnsi="David"/>
          <w:rtl/>
        </w:rPr>
        <w:t xml:space="preserve"> עוצמת הפגיעה היא קשה. מהאמור בתסקירי נפגעות העבירה ועדותן בפנינו הן סיפרו על הקשיים איתן הן מתמודדות בחיי היום יום, כמו גם הקשיים הטיפוליים וההתמודדות עם השלכות המעשים והדברים שקרו לאחר האירועים במסגרות חברתיות שונות שאינן קשורות לעבירה. כל אחת היא עולם ו</w:t>
      </w:r>
      <w:r w:rsidRPr="007D190C">
        <w:rPr>
          <w:rFonts w:ascii="David" w:eastAsia="Calibri" w:hAnsi="David"/>
          <w:rtl/>
        </w:rPr>
        <w:t xml:space="preserve">מלאו שסובל מקושי אמתי ותצטרך להתמודד עם הפגיעה במהלך חייה הבוגרים. חומרת העבירות לא נמדדת במידת הפגיעה בנפגעות העבירה בלבד. זהו פרמטר אחד מתוך ספקטרום </w:t>
      </w:r>
      <w:r w:rsidRPr="007D190C">
        <w:rPr>
          <w:rFonts w:ascii="David" w:eastAsia="Calibri" w:hAnsi="David"/>
          <w:rtl/>
        </w:rPr>
        <w:lastRenderedPageBreak/>
        <w:t>רחב של שיקולים שמביאים את בית המשפט לקבוע את מידת חומרת העבירה, במקרה זה עבירות המין. לא ניתן להתעלם כי ע</w:t>
      </w:r>
      <w:r w:rsidRPr="007D190C">
        <w:rPr>
          <w:rFonts w:ascii="David" w:eastAsia="Calibri" w:hAnsi="David"/>
          <w:rtl/>
        </w:rPr>
        <w:t>בירות המין שביצע הנאשם במקרה זה נושא אופי של חומרה נוכח הנסיבות של ביצוען. הנאשם ניצל את המצב החברתי בו היה מצוי כדי להגיע לנפגעות ולהשתמש בקשרים החברתיים לצורך צרכיו המינים. לא ניתן להתעלם גם מכך שבמסגרת הקשרים החברתיים, נעשה שימוש ברשתות החברתיות - הגם ש</w:t>
      </w:r>
      <w:r w:rsidRPr="007D190C">
        <w:rPr>
          <w:rFonts w:ascii="David" w:eastAsia="Calibri" w:hAnsi="David"/>
          <w:rtl/>
        </w:rPr>
        <w:t>לא בהכרח בעטיו של הנאשם או על ידו - שיש בו לפגוע פגיעה נוספת בנפגעות העבירה. אני מבקש להתייחס לדברים שנכתבו בתסקיר על נסיבות ביצוע העבירה, עמ' 3 פיסקה 3, שם שירות המבחן התייחס לאישיות הנאשם מהאמור בתסקיר מצטיירת תמונה לפיה יודע הנאשם לדאוג לצרכיו בצורה מתא</w:t>
      </w:r>
      <w:r w:rsidRPr="007D190C">
        <w:rPr>
          <w:rFonts w:ascii="David" w:eastAsia="Calibri" w:hAnsi="David"/>
          <w:rtl/>
        </w:rPr>
        <w:t>ימה, יש לו יכולת טובה להשיג את המטרות שהוא מציב לעצמו. יחד עם זאת, עולה התנהגות בצורה לא מתאימה, על חשבון הזולת. ישנה פרצה במערכת הערכית של הנאשם, המאפשרות לו לפעול ללא מספיק מעצורים ועכבות, הנאשם יכול להשתמש ולנצל אחרים לטובתו, בניסיון להפיק רווחים אישיים</w:t>
      </w:r>
      <w:r w:rsidRPr="007D190C">
        <w:rPr>
          <w:rFonts w:ascii="David" w:eastAsia="Calibri" w:hAnsi="David"/>
          <w:rtl/>
        </w:rPr>
        <w:t>, או כדי להוכיח לעצמו דרך האחר את ערכו, כוחו ואונו על חשבון האחרים. בהמשך יש התייחסות קונקרטית לעבירות המין אולם לא מצאתי להביא את הדברים כדי לא לפגוע בפרטיות הנאשם. אבחון זה הוא למעשה כל הסיפור בגזר דין זה. יכולת השימוש של הנאשם באחר לצרכיו המיניים. אבחון</w:t>
      </w:r>
      <w:r w:rsidRPr="007D190C">
        <w:rPr>
          <w:rFonts w:ascii="David" w:eastAsia="Calibri" w:hAnsi="David"/>
          <w:rtl/>
        </w:rPr>
        <w:t xml:space="preserve"> זה מעיד על חומרת המעשים, הסיכון העתידי להישנות עבירות והיכולת אכן לעבור הליך שיקומי שהדבר טבוע בהלך החשיבה של הנאשם. בית המשפט לא קובע את חומרת העבירה על פי ההסתכלות הסובייקטיבית של נפגע העבירה כיצד הוא רואה את חומרת העבירה, שכן אז כל עבירה הייתה ברמת חומ</w:t>
      </w:r>
      <w:r w:rsidRPr="007D190C">
        <w:rPr>
          <w:rFonts w:ascii="David" w:eastAsia="Calibri" w:hAnsi="David"/>
          <w:rtl/>
        </w:rPr>
        <w:t>רה שאינה ניתן לשיקום, אולם זהו שיקול אחד מכלל השיקולים, בנוסף התחשבתי, בריבוי המעשים בשש מתלוננת, שלגבי חלקן מדובר במספר מעשים בתוך כל אישום. חשוב לציין כי האישום השני מתאר אירוע מתמשך, האישום השלישי מתאר 2 אירועים במועדים שונים, האישום הרביעי מתאר שני איר</w:t>
      </w:r>
      <w:r w:rsidRPr="007D190C">
        <w:rPr>
          <w:rFonts w:ascii="David" w:eastAsia="Calibri" w:hAnsi="David"/>
          <w:rtl/>
        </w:rPr>
        <w:t xml:space="preserve">ועים במועדים שונים, האישום השישי מתאר אירועים במספר מועדים. כוונת הדברים שלא רק שמדובר בשישה אישומים אלו גם ריבוי מקרים בתוך האישומים, הפגיעה בקטינות הייתה בין הגילים 13-15 שנים, שיטת הפעולה החוזרת שסיגל לעצמו הנאשם לבצע עבירות על רקע חברתי כפי שעולה מכלל </w:t>
      </w:r>
      <w:r w:rsidRPr="007D190C">
        <w:rPr>
          <w:rFonts w:ascii="David" w:eastAsia="Calibri" w:hAnsi="David"/>
          <w:rtl/>
        </w:rPr>
        <w:t xml:space="preserve">האישומים. האסקלציה של המעשים במשך השנים. כל אלה מציבים את מעשיו של הנאשם ברמת חומרה רבה. </w:t>
      </w:r>
    </w:p>
    <w:p w:rsidR="007D190C" w:rsidRPr="007D190C" w:rsidRDefault="007D190C" w:rsidP="007D190C">
      <w:pPr>
        <w:spacing w:after="160" w:line="360" w:lineRule="auto"/>
        <w:ind w:left="720" w:hanging="295"/>
        <w:contextualSpacing/>
        <w:jc w:val="both"/>
        <w:rPr>
          <w:rFonts w:ascii="David" w:eastAsia="Calibri" w:hAnsi="David"/>
        </w:rPr>
      </w:pPr>
    </w:p>
    <w:p w:rsidR="007D190C" w:rsidRPr="007D190C" w:rsidRDefault="00DE4D55" w:rsidP="007D190C">
      <w:pPr>
        <w:spacing w:line="360" w:lineRule="auto"/>
        <w:ind w:left="720" w:hanging="295"/>
        <w:jc w:val="both"/>
        <w:rPr>
          <w:rFonts w:ascii="David" w:eastAsia="Calibri" w:hAnsi="David"/>
        </w:rPr>
      </w:pPr>
      <w:r w:rsidRPr="007D190C">
        <w:rPr>
          <w:rFonts w:ascii="David" w:eastAsia="Calibri" w:hAnsi="David"/>
          <w:rtl/>
        </w:rPr>
        <w:t>5.</w:t>
      </w:r>
      <w:r w:rsidRPr="007D190C">
        <w:rPr>
          <w:rFonts w:ascii="David" w:hAnsi="David"/>
          <w:rtl/>
        </w:rPr>
        <w:tab/>
      </w:r>
      <w:r w:rsidRPr="007D190C">
        <w:rPr>
          <w:rFonts w:ascii="David" w:hAnsi="David"/>
          <w:rtl/>
        </w:rPr>
        <w:t xml:space="preserve">בית המשפט העליון במקרים של קטינים נותן העדפה ברורה לשיקום וכך גם המחוקק רואה את השיקום ככלי יעיל בטיפול בקטינים ולעניין זה חוקק חוק מיוחד העוסק בדרכי טיפול בקטינים. השאלה אליה אני נדרש היא אינה האם יש להעדיף את השיקום על הענישה, שכן אז התשובה הייתה פשוטה, </w:t>
      </w:r>
      <w:r w:rsidRPr="007D190C">
        <w:rPr>
          <w:rFonts w:ascii="David" w:hAnsi="David"/>
          <w:rtl/>
        </w:rPr>
        <w:t xml:space="preserve">יש להעדיף את השיקום. השאלה לה אני נדרש היא יישום הכללים במקרה הנוכחי האם הם מביאים לתוצאה של העדפת השיקום או הענישה. אני מוצא לקבוע כי המקרה הנוכחי בשל חומרתו, ופרוגנוזת השיקום שספק אם הנאשם יירתם להליך </w:t>
      </w:r>
      <w:r w:rsidRPr="007D190C">
        <w:rPr>
          <w:rFonts w:ascii="David" w:hAnsi="David"/>
          <w:rtl/>
        </w:rPr>
        <w:lastRenderedPageBreak/>
        <w:t>שיקומי מספק, מביאה אותי למסקנה כי במקרה הנוכחי יש להע</w:t>
      </w:r>
      <w:r w:rsidRPr="007D190C">
        <w:rPr>
          <w:rFonts w:ascii="David" w:hAnsi="David"/>
          <w:rtl/>
        </w:rPr>
        <w:t xml:space="preserve">דיף את הענישה על פני השיקום. </w:t>
      </w:r>
    </w:p>
    <w:p w:rsidR="007D190C" w:rsidRPr="007D190C" w:rsidRDefault="007D190C" w:rsidP="007D190C">
      <w:pPr>
        <w:spacing w:line="360" w:lineRule="auto"/>
        <w:ind w:left="720" w:hanging="295"/>
        <w:jc w:val="both"/>
        <w:rPr>
          <w:rFonts w:ascii="David" w:eastAsia="Calibri" w:hAnsi="David"/>
        </w:rPr>
      </w:pPr>
    </w:p>
    <w:p w:rsidR="007D190C" w:rsidRPr="007D190C" w:rsidRDefault="00DE4D55" w:rsidP="007D190C">
      <w:pPr>
        <w:spacing w:line="360" w:lineRule="auto"/>
        <w:ind w:left="720" w:hanging="295"/>
        <w:jc w:val="both"/>
        <w:rPr>
          <w:rFonts w:ascii="David" w:eastAsia="Calibri" w:hAnsi="David"/>
          <w:rtl/>
        </w:rPr>
      </w:pPr>
      <w:r w:rsidRPr="007D190C">
        <w:rPr>
          <w:rFonts w:ascii="David" w:eastAsia="Calibri" w:hAnsi="David"/>
          <w:color w:val="000000"/>
          <w:rtl/>
        </w:rPr>
        <w:t>6.</w:t>
      </w:r>
      <w:r w:rsidRPr="007D190C">
        <w:rPr>
          <w:rFonts w:ascii="David" w:eastAsia="Calibri" w:hAnsi="David"/>
          <w:color w:val="000000"/>
          <w:rtl/>
        </w:rPr>
        <w:tab/>
        <w:t xml:space="preserve">חברתי אב"ד השופטת רביד ציינה פסיקה רבה בגזר דינה ולא מצאתי להוסיף על פסיקה זו. אין פסיקה התואמת בדיוק את המקרה הנוכחי. קיימת פסיקה המתארת אירועים חמורים יותר ומקלים יותר שנגזרו עונשים שונים על הנאשמים. </w:t>
      </w:r>
      <w:r w:rsidRPr="007D190C">
        <w:rPr>
          <w:rFonts w:ascii="David" w:eastAsia="Calibri" w:hAnsi="David"/>
          <w:rtl/>
        </w:rPr>
        <w:t>ברור מהפסיקה כי מקרי</w:t>
      </w:r>
      <w:r w:rsidRPr="007D190C">
        <w:rPr>
          <w:rFonts w:ascii="David" w:eastAsia="Calibri" w:hAnsi="David"/>
          <w:rtl/>
        </w:rPr>
        <w:t>ם שהם חמורים בית המשפט יעדיף את הענישה על פני דרכי הטיפול. מקום בו יש סיכוי לשיקום בית המשפט יעדיף את השיקום על פני הענישה. איני חולק על דברים אלו כפי שחברתי ציינה בגזר הדין. המחלוקת בינינו היא בפרשנות סיכוי השיקום ומידת חומרת העבירות ולכן התוצאה עליה הגעת</w:t>
      </w:r>
      <w:r w:rsidRPr="007D190C">
        <w:rPr>
          <w:rFonts w:ascii="David" w:eastAsia="Calibri" w:hAnsi="David"/>
          <w:rtl/>
        </w:rPr>
        <w:t xml:space="preserve">י היא שונה מחברתי. </w:t>
      </w:r>
    </w:p>
    <w:p w:rsidR="007D190C" w:rsidRPr="007D190C" w:rsidRDefault="007D190C" w:rsidP="007D190C">
      <w:pPr>
        <w:spacing w:line="360" w:lineRule="auto"/>
        <w:ind w:left="720" w:hanging="295"/>
        <w:jc w:val="both"/>
        <w:rPr>
          <w:rFonts w:ascii="David" w:eastAsia="Calibri" w:hAnsi="David"/>
        </w:rPr>
      </w:pPr>
    </w:p>
    <w:p w:rsidR="007D190C" w:rsidRPr="007D190C" w:rsidRDefault="00DE4D55" w:rsidP="007D190C">
      <w:pPr>
        <w:spacing w:line="360" w:lineRule="auto"/>
        <w:ind w:left="720" w:hanging="295"/>
        <w:jc w:val="both"/>
        <w:rPr>
          <w:rFonts w:ascii="David" w:eastAsia="Calibri" w:hAnsi="David"/>
        </w:rPr>
      </w:pPr>
      <w:r w:rsidRPr="007D190C">
        <w:rPr>
          <w:rFonts w:ascii="David" w:eastAsia="Calibri" w:hAnsi="David"/>
          <w:rtl/>
        </w:rPr>
        <w:t>7.</w:t>
      </w:r>
      <w:r w:rsidRPr="007D190C">
        <w:rPr>
          <w:rFonts w:ascii="David" w:eastAsia="Calibri" w:hAnsi="David"/>
          <w:rtl/>
        </w:rPr>
        <w:tab/>
      </w:r>
      <w:r w:rsidRPr="007D190C">
        <w:rPr>
          <w:rFonts w:ascii="David" w:hAnsi="David"/>
          <w:rtl/>
        </w:rPr>
        <w:t xml:space="preserve">סוף דבר, נוכח חומרת המעשים וריבויים, העובדה כי לא ברורה מידת השיקום העתידית, הירתמות הנאשם לשיקום בצורה שאינה מקדמת אותו בצורה משמעותית, הקושי הקשור בהפרעה אישיותית שלא ניתן לקבוע כי אכן שיקום ארוך טווח יביא לתוצאה הנדרשת. אני סבור </w:t>
      </w:r>
      <w:r w:rsidRPr="007D190C">
        <w:rPr>
          <w:rFonts w:ascii="David" w:hAnsi="David"/>
          <w:rtl/>
        </w:rPr>
        <w:t>כי יש מקום להטיל ענישה בתיק זה ולא לקבוע דרכי טיפול בדרך של צו מעון נעול.</w:t>
      </w:r>
    </w:p>
    <w:p w:rsidR="007D190C" w:rsidRPr="007D190C" w:rsidRDefault="00DE4D55" w:rsidP="007D190C">
      <w:pPr>
        <w:spacing w:line="360" w:lineRule="auto"/>
        <w:ind w:left="720" w:hanging="295"/>
        <w:jc w:val="both"/>
        <w:rPr>
          <w:rFonts w:ascii="David" w:eastAsia="Calibri" w:hAnsi="David"/>
        </w:rPr>
      </w:pPr>
      <w:r w:rsidRPr="007D190C">
        <w:rPr>
          <w:rFonts w:ascii="David" w:eastAsia="Calibri" w:hAnsi="David"/>
          <w:rtl/>
        </w:rPr>
        <w:tab/>
      </w:r>
    </w:p>
    <w:p w:rsidR="007D190C" w:rsidRPr="007D190C" w:rsidRDefault="00DE4D55" w:rsidP="007D190C">
      <w:pPr>
        <w:spacing w:line="360" w:lineRule="auto"/>
        <w:ind w:left="720" w:hanging="295"/>
        <w:jc w:val="both"/>
        <w:rPr>
          <w:rFonts w:ascii="David" w:eastAsia="Calibri" w:hAnsi="David"/>
        </w:rPr>
      </w:pPr>
      <w:r w:rsidRPr="007D190C">
        <w:rPr>
          <w:rFonts w:ascii="David" w:eastAsia="Calibri" w:hAnsi="David"/>
          <w:rtl/>
        </w:rPr>
        <w:tab/>
      </w:r>
      <w:r w:rsidRPr="007D190C">
        <w:rPr>
          <w:rFonts w:ascii="David" w:hAnsi="David"/>
          <w:rtl/>
        </w:rPr>
        <w:t>לכן אני סבור כי חלף הקביעה שהמשיב ישהה בצו מעון סגור כפי שהציעה חברתי אב"ד השופטת רביד יושת על הנאשם עונש מאסר למשך 30 חודשים בניכוי ימי מעצרו מיו08.12.21 ועד ליום 12.01.21. אני מ</w:t>
      </w:r>
      <w:r w:rsidRPr="007D190C">
        <w:rPr>
          <w:rFonts w:ascii="David" w:hAnsi="David"/>
          <w:rtl/>
        </w:rPr>
        <w:t>סכים ליתר רכיבי הענישה שקבעה חברתי אב"ד השופטת רביד.</w:t>
      </w:r>
    </w:p>
    <w:p w:rsidR="007D190C" w:rsidRPr="007D190C" w:rsidRDefault="007D190C" w:rsidP="007D190C">
      <w:pPr>
        <w:spacing w:after="160" w:line="252" w:lineRule="auto"/>
        <w:ind w:left="720"/>
        <w:contextualSpacing/>
        <w:rPr>
          <w:rFonts w:ascii="David" w:eastAsia="Calibri" w:hAnsi="David"/>
          <w:rtl/>
        </w:rPr>
      </w:pPr>
    </w:p>
    <w:tbl>
      <w:tblPr>
        <w:tblpPr w:leftFromText="180" w:rightFromText="180" w:bottomFromText="160" w:vertAnchor="text" w:horzAnchor="margin" w:tblpY="-44"/>
        <w:bidiVisual/>
        <w:tblW w:w="0" w:type="auto"/>
        <w:tblLayout w:type="fixed"/>
        <w:tblCellMar>
          <w:left w:w="0" w:type="dxa"/>
          <w:right w:w="0" w:type="dxa"/>
        </w:tblCellMar>
        <w:tblLook w:val="04A0" w:firstRow="1" w:lastRow="0" w:firstColumn="1" w:lastColumn="0" w:noHBand="0" w:noVBand="1"/>
      </w:tblPr>
      <w:tblGrid>
        <w:gridCol w:w="2628"/>
      </w:tblGrid>
      <w:tr w:rsidR="004B4EFA" w:rsidTr="007D190C">
        <w:trPr>
          <w:trHeight w:val="1400"/>
        </w:trPr>
        <w:tc>
          <w:tcPr>
            <w:tcW w:w="2628" w:type="dxa"/>
            <w:tcBorders>
              <w:top w:val="nil"/>
              <w:left w:val="nil"/>
              <w:bottom w:val="single" w:sz="8" w:space="0" w:color="auto"/>
              <w:right w:val="nil"/>
            </w:tcBorders>
            <w:tcMar>
              <w:top w:w="0" w:type="dxa"/>
              <w:left w:w="108" w:type="dxa"/>
              <w:bottom w:w="0" w:type="dxa"/>
              <w:right w:w="108" w:type="dxa"/>
            </w:tcMar>
            <w:vAlign w:val="center"/>
            <w:hideMark/>
          </w:tcPr>
          <w:p w:rsidR="007D190C" w:rsidRPr="007D190C" w:rsidRDefault="00DE4D55" w:rsidP="007D190C">
            <w:pPr>
              <w:tabs>
                <w:tab w:val="left" w:pos="800"/>
              </w:tabs>
              <w:overflowPunct w:val="0"/>
              <w:autoSpaceDE w:val="0"/>
              <w:autoSpaceDN w:val="0"/>
              <w:adjustRightInd w:val="0"/>
              <w:spacing w:line="360" w:lineRule="auto"/>
              <w:jc w:val="both"/>
              <w:rPr>
                <w:rFonts w:ascii="David" w:hAnsi="David"/>
                <w:b/>
                <w:bCs/>
                <w:rtl/>
              </w:rPr>
            </w:pPr>
            <w:r w:rsidRPr="007D190C">
              <w:rPr>
                <w:noProof/>
                <w:rtl/>
              </w:rPr>
              <w:drawing>
                <wp:anchor distT="0" distB="0" distL="114300" distR="114300" simplePos="0" relativeHeight="251658240" behindDoc="0" locked="0" layoutInCell="1" allowOverlap="1">
                  <wp:simplePos x="0" y="0"/>
                  <wp:positionH relativeFrom="column">
                    <wp:posOffset>541655</wp:posOffset>
                  </wp:positionH>
                  <wp:positionV relativeFrom="paragraph">
                    <wp:posOffset>274320</wp:posOffset>
                  </wp:positionV>
                  <wp:extent cx="847725" cy="342900"/>
                  <wp:effectExtent l="0" t="0" r="9525" b="0"/>
                  <wp:wrapSquare wrapText="bothSides"/>
                  <wp:docPr id="11"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תמונה 6"/>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847725" cy="342900"/>
                          </a:xfrm>
                          <a:prstGeom prst="rect">
                            <a:avLst/>
                          </a:prstGeom>
                          <a:noFill/>
                        </pic:spPr>
                      </pic:pic>
                    </a:graphicData>
                  </a:graphic>
                  <wp14:sizeRelH relativeFrom="page">
                    <wp14:pctWidth>0</wp14:pctWidth>
                  </wp14:sizeRelH>
                  <wp14:sizeRelV relativeFrom="page">
                    <wp14:pctHeight>0</wp14:pctHeight>
                  </wp14:sizeRelV>
                </wp:anchor>
              </w:drawing>
            </w:r>
          </w:p>
        </w:tc>
      </w:tr>
      <w:tr w:rsidR="004B4EFA" w:rsidTr="007D190C">
        <w:trPr>
          <w:trHeight w:val="580"/>
        </w:trPr>
        <w:tc>
          <w:tcPr>
            <w:tcW w:w="2628" w:type="dxa"/>
            <w:tcMar>
              <w:top w:w="0" w:type="dxa"/>
              <w:left w:w="108" w:type="dxa"/>
              <w:bottom w:w="0" w:type="dxa"/>
              <w:right w:w="108" w:type="dxa"/>
            </w:tcMar>
            <w:vAlign w:val="center"/>
            <w:hideMark/>
          </w:tcPr>
          <w:p w:rsidR="007D190C" w:rsidRPr="007D190C" w:rsidRDefault="00DE4D55" w:rsidP="007D190C">
            <w:pPr>
              <w:tabs>
                <w:tab w:val="left" w:pos="800"/>
              </w:tabs>
              <w:overflowPunct w:val="0"/>
              <w:autoSpaceDE w:val="0"/>
              <w:autoSpaceDN w:val="0"/>
              <w:adjustRightInd w:val="0"/>
              <w:spacing w:line="360" w:lineRule="auto"/>
              <w:jc w:val="both"/>
              <w:rPr>
                <w:rFonts w:ascii="David" w:hAnsi="David"/>
                <w:b/>
                <w:bCs/>
                <w:rtl/>
              </w:rPr>
            </w:pPr>
            <w:r w:rsidRPr="007D190C">
              <w:rPr>
                <w:rFonts w:ascii="David" w:hAnsi="David"/>
                <w:b/>
                <w:bCs/>
                <w:rtl/>
              </w:rPr>
              <w:t>שמואל מלמד, שופט</w:t>
            </w:r>
          </w:p>
        </w:tc>
      </w:tr>
      <w:tr w:rsidR="004B4EFA" w:rsidTr="007D190C">
        <w:trPr>
          <w:trHeight w:val="580"/>
        </w:trPr>
        <w:tc>
          <w:tcPr>
            <w:tcW w:w="2628" w:type="dxa"/>
            <w:tcMar>
              <w:top w:w="0" w:type="dxa"/>
              <w:left w:w="108" w:type="dxa"/>
              <w:bottom w:w="0" w:type="dxa"/>
              <w:right w:w="108" w:type="dxa"/>
            </w:tcMar>
            <w:vAlign w:val="center"/>
          </w:tcPr>
          <w:p w:rsidR="007D190C" w:rsidRPr="007D190C" w:rsidRDefault="007D190C" w:rsidP="007D190C">
            <w:pPr>
              <w:tabs>
                <w:tab w:val="left" w:pos="800"/>
              </w:tabs>
              <w:overflowPunct w:val="0"/>
              <w:autoSpaceDE w:val="0"/>
              <w:autoSpaceDN w:val="0"/>
              <w:adjustRightInd w:val="0"/>
              <w:spacing w:line="360" w:lineRule="auto"/>
              <w:jc w:val="both"/>
              <w:rPr>
                <w:rFonts w:ascii="David" w:hAnsi="David"/>
                <w:b/>
                <w:bCs/>
              </w:rPr>
            </w:pPr>
          </w:p>
        </w:tc>
      </w:tr>
    </w:tbl>
    <w:p w:rsidR="007D190C" w:rsidRPr="007D190C" w:rsidRDefault="00DE4D55" w:rsidP="007D190C">
      <w:pPr>
        <w:tabs>
          <w:tab w:val="left" w:pos="800"/>
        </w:tabs>
        <w:overflowPunct w:val="0"/>
        <w:autoSpaceDE w:val="0"/>
        <w:autoSpaceDN w:val="0"/>
        <w:adjustRightInd w:val="0"/>
        <w:spacing w:line="360" w:lineRule="auto"/>
        <w:jc w:val="both"/>
        <w:rPr>
          <w:rFonts w:ascii="David" w:hAnsi="David"/>
          <w:rtl/>
        </w:rPr>
      </w:pPr>
      <w:r w:rsidRPr="007D190C">
        <w:rPr>
          <w:rFonts w:ascii="David" w:hAnsi="David"/>
          <w:rtl/>
        </w:rPr>
        <w:tab/>
      </w:r>
      <w:r w:rsidRPr="007D190C">
        <w:rPr>
          <w:rFonts w:ascii="David" w:hAnsi="David"/>
          <w:rtl/>
        </w:rPr>
        <w:tab/>
      </w:r>
      <w:r w:rsidRPr="007D190C">
        <w:rPr>
          <w:rFonts w:ascii="David" w:hAnsi="David"/>
          <w:rtl/>
        </w:rPr>
        <w:tab/>
      </w:r>
      <w:r w:rsidRPr="007D190C">
        <w:rPr>
          <w:rFonts w:ascii="David" w:hAnsi="David"/>
          <w:rtl/>
        </w:rPr>
        <w:tab/>
      </w:r>
      <w:r w:rsidRPr="007D190C">
        <w:rPr>
          <w:rFonts w:ascii="David" w:hAnsi="David"/>
          <w:rtl/>
        </w:rPr>
        <w:tab/>
      </w:r>
      <w:r w:rsidRPr="007D190C">
        <w:rPr>
          <w:rFonts w:ascii="David" w:hAnsi="David"/>
          <w:rtl/>
        </w:rPr>
        <w:tab/>
      </w:r>
      <w:r w:rsidRPr="007D190C">
        <w:rPr>
          <w:rFonts w:ascii="David" w:hAnsi="David"/>
          <w:rtl/>
        </w:rPr>
        <w:tab/>
      </w:r>
      <w:r w:rsidRPr="007D190C">
        <w:rPr>
          <w:rFonts w:ascii="David" w:hAnsi="David"/>
          <w:rtl/>
        </w:rPr>
        <w:tab/>
      </w:r>
      <w:r w:rsidRPr="007D190C">
        <w:rPr>
          <w:rFonts w:ascii="David" w:hAnsi="David"/>
          <w:rtl/>
        </w:rPr>
        <w:tab/>
      </w:r>
      <w:r w:rsidRPr="007D190C">
        <w:rPr>
          <w:rFonts w:ascii="David" w:hAnsi="David"/>
          <w:rtl/>
        </w:rPr>
        <w:tab/>
      </w:r>
    </w:p>
    <w:p w:rsidR="007D190C" w:rsidRPr="007D190C" w:rsidRDefault="007D190C" w:rsidP="007D190C">
      <w:pPr>
        <w:tabs>
          <w:tab w:val="left" w:pos="800"/>
        </w:tabs>
        <w:overflowPunct w:val="0"/>
        <w:autoSpaceDE w:val="0"/>
        <w:autoSpaceDN w:val="0"/>
        <w:adjustRightInd w:val="0"/>
        <w:spacing w:line="360" w:lineRule="auto"/>
        <w:jc w:val="both"/>
        <w:rPr>
          <w:rFonts w:ascii="David" w:hAnsi="David"/>
        </w:rPr>
      </w:pPr>
    </w:p>
    <w:p w:rsidR="007D190C" w:rsidRPr="007D190C" w:rsidRDefault="007D190C" w:rsidP="007D190C">
      <w:pPr>
        <w:spacing w:after="160" w:line="252" w:lineRule="auto"/>
        <w:rPr>
          <w:rFonts w:ascii="David" w:eastAsia="Calibri" w:hAnsi="David"/>
          <w:rtl/>
        </w:rPr>
      </w:pPr>
    </w:p>
    <w:p w:rsidR="007D190C" w:rsidRPr="007D190C" w:rsidRDefault="007D190C" w:rsidP="007D190C">
      <w:pPr>
        <w:spacing w:line="360" w:lineRule="auto"/>
        <w:jc w:val="both"/>
        <w:rPr>
          <w:rFonts w:ascii="David" w:hAnsi="David"/>
          <w:rtl/>
        </w:rPr>
      </w:pPr>
    </w:p>
    <w:p w:rsidR="007D190C" w:rsidRPr="007D190C" w:rsidRDefault="007D190C" w:rsidP="007D190C">
      <w:pPr>
        <w:spacing w:line="360" w:lineRule="auto"/>
        <w:jc w:val="both"/>
        <w:rPr>
          <w:rFonts w:ascii="David" w:hAnsi="David"/>
          <w:rtl/>
        </w:rPr>
      </w:pPr>
    </w:p>
    <w:p w:rsidR="007D190C" w:rsidRPr="007D190C" w:rsidRDefault="007D190C" w:rsidP="007D190C">
      <w:pPr>
        <w:spacing w:line="360" w:lineRule="auto"/>
        <w:jc w:val="both"/>
        <w:rPr>
          <w:rFonts w:ascii="David" w:hAnsi="David"/>
          <w:rtl/>
        </w:rPr>
      </w:pPr>
    </w:p>
    <w:p w:rsidR="007D190C" w:rsidRPr="007D190C" w:rsidRDefault="007D190C" w:rsidP="007D190C">
      <w:pPr>
        <w:spacing w:line="360" w:lineRule="auto"/>
        <w:jc w:val="both"/>
        <w:rPr>
          <w:rFonts w:ascii="David" w:hAnsi="David"/>
          <w:rtl/>
        </w:rPr>
      </w:pPr>
    </w:p>
    <w:p w:rsidR="007D190C" w:rsidRPr="007D190C" w:rsidRDefault="00DE4D55" w:rsidP="007D190C">
      <w:pPr>
        <w:spacing w:line="360" w:lineRule="auto"/>
        <w:jc w:val="both"/>
        <w:rPr>
          <w:rFonts w:ascii="David" w:hAnsi="David"/>
          <w:rtl/>
        </w:rPr>
      </w:pPr>
      <w:r w:rsidRPr="007D190C">
        <w:rPr>
          <w:rFonts w:ascii="David" w:hAnsi="David"/>
          <w:rtl/>
        </w:rPr>
        <w:t>אנו גוזרים אפוא על הנאשם בדעת רוב את העונשים שנקבעו בחוות דעתה של כב' השופטת הבכיר גיליה רביד, כדלקמן:</w:t>
      </w:r>
    </w:p>
    <w:p w:rsidR="007D190C" w:rsidRPr="007D190C" w:rsidRDefault="007D190C" w:rsidP="007D190C">
      <w:pPr>
        <w:spacing w:line="360" w:lineRule="auto"/>
        <w:jc w:val="both"/>
        <w:rPr>
          <w:rFonts w:ascii="David" w:hAnsi="David"/>
          <w:rtl/>
        </w:rPr>
      </w:pPr>
    </w:p>
    <w:p w:rsidR="007D190C" w:rsidRPr="007D190C" w:rsidRDefault="007D190C" w:rsidP="007D190C">
      <w:pPr>
        <w:spacing w:line="360" w:lineRule="auto"/>
        <w:jc w:val="both"/>
        <w:rPr>
          <w:rFonts w:ascii="David" w:hAnsi="David"/>
          <w:rtl/>
        </w:rPr>
      </w:pPr>
    </w:p>
    <w:p w:rsidR="007D190C" w:rsidRPr="007D190C" w:rsidRDefault="00DE4D55" w:rsidP="007D190C">
      <w:pPr>
        <w:numPr>
          <w:ilvl w:val="0"/>
          <w:numId w:val="5"/>
        </w:numPr>
        <w:spacing w:line="360" w:lineRule="auto"/>
        <w:contextualSpacing/>
        <w:jc w:val="both"/>
        <w:rPr>
          <w:rFonts w:ascii="David" w:hAnsi="David"/>
          <w:rtl/>
        </w:rPr>
      </w:pPr>
      <w:r w:rsidRPr="007D190C">
        <w:rPr>
          <w:rFonts w:ascii="David" w:hAnsi="David"/>
          <w:rtl/>
        </w:rPr>
        <w:t>הנאשם יוחזק במעון נעול בחסות הנוער, חלף מאסר, בהתאם לסעיף</w:t>
      </w:r>
      <w:r w:rsidRPr="007D190C">
        <w:rPr>
          <w:rFonts w:ascii="David" w:hAnsi="David"/>
          <w:rtl/>
        </w:rPr>
        <w:t xml:space="preserve"> 25 לחוק הנוער למשך 3 שנים ותשעה חודשים.</w:t>
      </w:r>
    </w:p>
    <w:p w:rsidR="007D190C" w:rsidRPr="007D190C" w:rsidRDefault="00DE4D55" w:rsidP="007D190C">
      <w:pPr>
        <w:spacing w:line="360" w:lineRule="auto"/>
        <w:ind w:left="1170"/>
        <w:contextualSpacing/>
        <w:jc w:val="both"/>
        <w:rPr>
          <w:rFonts w:ascii="David" w:hAnsi="David"/>
          <w:rtl/>
        </w:rPr>
      </w:pPr>
      <w:r w:rsidRPr="007D190C">
        <w:rPr>
          <w:rFonts w:ascii="David" w:hAnsi="David"/>
          <w:rtl/>
        </w:rPr>
        <w:lastRenderedPageBreak/>
        <w:t>שירות המבחן ידווח כל 6 חודשים ו/או במידה שהנאשם לא יעמוד בכללי המקום.</w:t>
      </w:r>
    </w:p>
    <w:p w:rsidR="007D190C" w:rsidRPr="007D190C" w:rsidRDefault="007D190C" w:rsidP="007D190C">
      <w:pPr>
        <w:spacing w:line="360" w:lineRule="auto"/>
        <w:ind w:left="1170"/>
        <w:contextualSpacing/>
        <w:jc w:val="both"/>
        <w:rPr>
          <w:rFonts w:ascii="David" w:hAnsi="David"/>
          <w:rtl/>
        </w:rPr>
      </w:pPr>
    </w:p>
    <w:p w:rsidR="007D190C" w:rsidRPr="007D190C" w:rsidRDefault="00DE4D55" w:rsidP="007D190C">
      <w:pPr>
        <w:numPr>
          <w:ilvl w:val="0"/>
          <w:numId w:val="5"/>
        </w:numPr>
        <w:spacing w:line="360" w:lineRule="auto"/>
        <w:contextualSpacing/>
        <w:jc w:val="both"/>
        <w:rPr>
          <w:rFonts w:ascii="David" w:hAnsi="David"/>
          <w:rtl/>
        </w:rPr>
      </w:pPr>
      <w:r w:rsidRPr="007D190C">
        <w:rPr>
          <w:rFonts w:ascii="David" w:hAnsi="David"/>
          <w:rtl/>
        </w:rPr>
        <w:t>מאסר על תנאי של 12 חודשים שהנאשם לא יעבור עבירות לפי סעיפים 345, 346, 347 ו-348 לחוק העונשין תוך 3 שנים מיום שחרורו מהמעון הנעול.</w:t>
      </w:r>
    </w:p>
    <w:p w:rsidR="007D190C" w:rsidRPr="007D190C" w:rsidRDefault="007D190C" w:rsidP="007D190C">
      <w:pPr>
        <w:spacing w:line="360" w:lineRule="auto"/>
        <w:ind w:left="1170"/>
        <w:contextualSpacing/>
        <w:jc w:val="both"/>
        <w:rPr>
          <w:rFonts w:ascii="David" w:hAnsi="David"/>
        </w:rPr>
      </w:pPr>
    </w:p>
    <w:p w:rsidR="007D190C" w:rsidRDefault="00DE4D55" w:rsidP="007D190C">
      <w:pPr>
        <w:numPr>
          <w:ilvl w:val="0"/>
          <w:numId w:val="5"/>
        </w:numPr>
        <w:spacing w:line="360" w:lineRule="auto"/>
        <w:contextualSpacing/>
        <w:jc w:val="both"/>
        <w:rPr>
          <w:rFonts w:ascii="David" w:hAnsi="David"/>
        </w:rPr>
      </w:pPr>
      <w:r w:rsidRPr="007D190C">
        <w:rPr>
          <w:rFonts w:ascii="David" w:hAnsi="David"/>
          <w:rtl/>
        </w:rPr>
        <w:t xml:space="preserve">הנאשם ישלם </w:t>
      </w:r>
      <w:r w:rsidRPr="007D190C">
        <w:rPr>
          <w:rFonts w:ascii="David" w:hAnsi="David"/>
          <w:rtl/>
        </w:rPr>
        <w:t>לנפגעות העבירה פיצוי מוסכם בסך של 120,000 ₪ אשר יחולק ביניהן באופן שווה. הסכום יועבר לנפגעות העבירה מתוך הכספים שהפקיד הנאשם בקופת בית המשפט, וזאת בהתאם לפרטים שתמציא המאשימה למזכירות בית המשפט</w:t>
      </w:r>
    </w:p>
    <w:p w:rsidR="00125A1A" w:rsidRPr="007D190C" w:rsidRDefault="00125A1A" w:rsidP="00125A1A">
      <w:pPr>
        <w:spacing w:line="360" w:lineRule="auto"/>
        <w:contextualSpacing/>
        <w:jc w:val="both"/>
        <w:rPr>
          <w:rFonts w:ascii="David" w:hAnsi="David"/>
        </w:rPr>
      </w:pPr>
    </w:p>
    <w:p w:rsidR="007D190C" w:rsidRPr="007D190C" w:rsidRDefault="00DE4D55" w:rsidP="007D190C">
      <w:pPr>
        <w:numPr>
          <w:ilvl w:val="0"/>
          <w:numId w:val="5"/>
        </w:numPr>
        <w:spacing w:line="360" w:lineRule="auto"/>
        <w:contextualSpacing/>
        <w:jc w:val="both"/>
        <w:rPr>
          <w:rFonts w:ascii="David" w:hAnsi="David"/>
        </w:rPr>
      </w:pPr>
      <w:r w:rsidRPr="007D190C">
        <w:rPr>
          <w:rFonts w:ascii="David" w:hAnsi="David"/>
          <w:rtl/>
        </w:rPr>
        <w:t xml:space="preserve">הנאשם יחתום על התחייבות בסך של 20,000 ₪ שלא יעבור את העבירות </w:t>
      </w:r>
      <w:r w:rsidRPr="007D190C">
        <w:rPr>
          <w:rFonts w:ascii="David" w:hAnsi="David"/>
          <w:rtl/>
        </w:rPr>
        <w:t>לפי סעיפים 345, 346, 347, ו-348 לחוק העונשין תוך שנתיים מיום שחרורו מהמעון הנעול. אי חתימה על התחייבות תגרור מאסר של 30 יום.</w:t>
      </w:r>
    </w:p>
    <w:p w:rsidR="007D190C" w:rsidRPr="007D190C" w:rsidRDefault="007D190C" w:rsidP="007D190C">
      <w:pPr>
        <w:spacing w:line="360" w:lineRule="auto"/>
        <w:jc w:val="both"/>
        <w:rPr>
          <w:rFonts w:ascii="David" w:hAnsi="David"/>
        </w:rPr>
      </w:pPr>
    </w:p>
    <w:p w:rsidR="007D190C" w:rsidRPr="00125A1A" w:rsidRDefault="00DE4D55" w:rsidP="007D190C">
      <w:pPr>
        <w:spacing w:line="360" w:lineRule="auto"/>
        <w:jc w:val="both"/>
        <w:rPr>
          <w:rFonts w:ascii="David" w:hAnsi="David"/>
          <w:b/>
          <w:bCs/>
        </w:rPr>
      </w:pPr>
      <w:r w:rsidRPr="00125A1A">
        <w:rPr>
          <w:rFonts w:ascii="David" w:hAnsi="David"/>
          <w:b/>
          <w:bCs/>
          <w:rtl/>
        </w:rPr>
        <w:t xml:space="preserve">ניתן היום, </w:t>
      </w:r>
      <w:sdt>
        <w:sdtPr>
          <w:rPr>
            <w:rFonts w:ascii="David" w:hAnsi="David"/>
            <w:b/>
            <w:bCs/>
            <w:rtl/>
          </w:rPr>
          <w:alias w:val="1455"/>
          <w:tag w:val="1455"/>
          <w:id w:val="-1320117168"/>
          <w:text w:multiLine="1"/>
        </w:sdtPr>
        <w:sdtEndPr/>
        <w:sdtContent>
          <w:r>
            <w:rPr>
              <w:rFonts w:ascii="David" w:hAnsi="David"/>
              <w:b/>
              <w:bCs/>
              <w:rtl/>
            </w:rPr>
            <w:t>כ"ג סיוון תשפ"ג</w:t>
          </w:r>
        </w:sdtContent>
      </w:sdt>
      <w:r w:rsidRPr="00125A1A">
        <w:rPr>
          <w:rFonts w:ascii="David" w:hAnsi="David"/>
          <w:b/>
          <w:bCs/>
          <w:rtl/>
        </w:rPr>
        <w:t xml:space="preserve">, </w:t>
      </w:r>
      <w:sdt>
        <w:sdtPr>
          <w:rPr>
            <w:rFonts w:ascii="David" w:hAnsi="David"/>
            <w:b/>
            <w:bCs/>
            <w:rtl/>
          </w:rPr>
          <w:alias w:val="1456"/>
          <w:tag w:val="1456"/>
          <w:id w:val="469183990"/>
          <w:text w:multiLine="1"/>
        </w:sdtPr>
        <w:sdtEndPr/>
        <w:sdtContent>
          <w:r>
            <w:rPr>
              <w:rFonts w:ascii="David" w:hAnsi="David"/>
              <w:b/>
              <w:bCs/>
              <w:rtl/>
            </w:rPr>
            <w:t>12 יוני 2023</w:t>
          </w:r>
        </w:sdtContent>
      </w:sdt>
      <w:r w:rsidRPr="00125A1A">
        <w:rPr>
          <w:rFonts w:ascii="David" w:hAnsi="David"/>
          <w:b/>
          <w:bCs/>
          <w:rtl/>
        </w:rPr>
        <w:t>, במעמד הצדדים.</w:t>
      </w:r>
    </w:p>
    <w:p w:rsidR="007D190C" w:rsidRPr="00125A1A" w:rsidRDefault="00DE4D55" w:rsidP="007D190C">
      <w:pPr>
        <w:spacing w:line="360" w:lineRule="auto"/>
        <w:jc w:val="both"/>
        <w:rPr>
          <w:rFonts w:ascii="David" w:hAnsi="David"/>
          <w:b/>
          <w:bCs/>
        </w:rPr>
      </w:pPr>
      <w:r w:rsidRPr="00125A1A">
        <w:rPr>
          <w:rFonts w:ascii="David" w:hAnsi="David"/>
          <w:b/>
          <w:bCs/>
          <w:rtl/>
        </w:rPr>
        <w:t>זכות ערעור תוך 45 יום.</w:t>
      </w:r>
    </w:p>
    <w:p w:rsidR="007D190C" w:rsidRPr="007D190C" w:rsidRDefault="007D190C" w:rsidP="007D190C">
      <w:pPr>
        <w:spacing w:line="360" w:lineRule="auto"/>
        <w:jc w:val="both"/>
        <w:rPr>
          <w:rFonts w:ascii="David" w:hAnsi="David"/>
          <w:rtl/>
        </w:rPr>
      </w:pPr>
    </w:p>
    <w:p w:rsidR="007D190C" w:rsidRPr="007D190C" w:rsidRDefault="007D190C" w:rsidP="007D190C">
      <w:pPr>
        <w:spacing w:line="360" w:lineRule="auto"/>
        <w:jc w:val="both"/>
        <w:rPr>
          <w:rFonts w:ascii="David" w:hAnsi="David"/>
        </w:rPr>
      </w:pPr>
    </w:p>
    <w:tbl>
      <w:tblPr>
        <w:bidiVisual/>
        <w:tblW w:w="0" w:type="auto"/>
        <w:tblLayout w:type="fixed"/>
        <w:tblCellMar>
          <w:left w:w="0" w:type="dxa"/>
          <w:right w:w="0" w:type="dxa"/>
        </w:tblCellMar>
        <w:tblLook w:val="04A0" w:firstRow="1" w:lastRow="0" w:firstColumn="1" w:lastColumn="0" w:noHBand="0" w:noVBand="1"/>
      </w:tblPr>
      <w:tblGrid>
        <w:gridCol w:w="2627"/>
        <w:gridCol w:w="236"/>
        <w:gridCol w:w="2826"/>
        <w:gridCol w:w="282"/>
        <w:gridCol w:w="2628"/>
      </w:tblGrid>
      <w:tr w:rsidR="004B4EFA" w:rsidTr="007D190C">
        <w:trPr>
          <w:trHeight w:val="1400"/>
        </w:trPr>
        <w:tc>
          <w:tcPr>
            <w:tcW w:w="2627" w:type="dxa"/>
            <w:tcBorders>
              <w:top w:val="nil"/>
              <w:left w:val="nil"/>
              <w:bottom w:val="single" w:sz="8" w:space="0" w:color="auto"/>
              <w:right w:val="nil"/>
            </w:tcBorders>
            <w:tcMar>
              <w:top w:w="0" w:type="dxa"/>
              <w:left w:w="108" w:type="dxa"/>
              <w:bottom w:w="0" w:type="dxa"/>
              <w:right w:w="108" w:type="dxa"/>
            </w:tcMar>
            <w:vAlign w:val="center"/>
            <w:hideMark/>
          </w:tcPr>
          <w:p w:rsidR="007D190C" w:rsidRPr="007D190C" w:rsidRDefault="00DE4D55" w:rsidP="007D190C">
            <w:pPr>
              <w:spacing w:after="160" w:line="252" w:lineRule="auto"/>
              <w:jc w:val="center"/>
              <w:rPr>
                <w:rFonts w:ascii="Courier New" w:hAnsi="Courier New" w:cs="Courier New"/>
                <w:b/>
                <w:bCs/>
                <w:rtl/>
              </w:rPr>
            </w:pPr>
            <w:r w:rsidRPr="007D190C">
              <w:rPr>
                <w:rFonts w:ascii="Courier New" w:hAnsi="Courier New"/>
                <w:b/>
                <w:bCs/>
                <w:noProof/>
              </w:rPr>
              <w:drawing>
                <wp:inline distT="0" distB="0" distL="0" distR="0">
                  <wp:extent cx="1626870" cy="949960"/>
                  <wp:effectExtent l="0" t="0" r="0" b="2540"/>
                  <wp:docPr id="8" name="תמונה 3" descr="תיאור: 05235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תמונה 3" descr="תיאור: 052352960"/>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626870" cy="949960"/>
                          </a:xfrm>
                          <a:prstGeom prst="rect">
                            <a:avLst/>
                          </a:prstGeom>
                          <a:noFill/>
                          <a:ln>
                            <a:noFill/>
                          </a:ln>
                        </pic:spPr>
                      </pic:pic>
                    </a:graphicData>
                  </a:graphic>
                </wp:inline>
              </w:drawing>
            </w:r>
          </w:p>
        </w:tc>
        <w:tc>
          <w:tcPr>
            <w:tcW w:w="234" w:type="dxa"/>
            <w:tcMar>
              <w:top w:w="0" w:type="dxa"/>
              <w:left w:w="108" w:type="dxa"/>
              <w:bottom w:w="0" w:type="dxa"/>
              <w:right w:w="108" w:type="dxa"/>
            </w:tcMar>
            <w:vAlign w:val="center"/>
          </w:tcPr>
          <w:p w:rsidR="007D190C" w:rsidRPr="007D190C" w:rsidRDefault="007D190C" w:rsidP="007D190C">
            <w:pPr>
              <w:spacing w:after="160" w:line="252" w:lineRule="auto"/>
              <w:jc w:val="center"/>
              <w:rPr>
                <w:rFonts w:ascii="Courier New" w:hAnsi="Courier New" w:cs="Courier New"/>
                <w:b/>
                <w:bCs/>
                <w:rtl/>
              </w:rPr>
            </w:pPr>
          </w:p>
        </w:tc>
        <w:tc>
          <w:tcPr>
            <w:tcW w:w="2826" w:type="dxa"/>
            <w:tcBorders>
              <w:top w:val="nil"/>
              <w:left w:val="nil"/>
              <w:bottom w:val="single" w:sz="8" w:space="0" w:color="auto"/>
              <w:right w:val="nil"/>
            </w:tcBorders>
            <w:tcMar>
              <w:top w:w="0" w:type="dxa"/>
              <w:left w:w="108" w:type="dxa"/>
              <w:bottom w:w="0" w:type="dxa"/>
              <w:right w:w="108" w:type="dxa"/>
            </w:tcMar>
            <w:vAlign w:val="center"/>
          </w:tcPr>
          <w:p w:rsidR="007D190C" w:rsidRPr="007D190C" w:rsidRDefault="007D190C" w:rsidP="007D190C">
            <w:pPr>
              <w:spacing w:after="160" w:line="252" w:lineRule="auto"/>
              <w:jc w:val="center"/>
              <w:rPr>
                <w:rFonts w:ascii="Courier New" w:hAnsi="Courier New" w:cs="Courier New"/>
                <w:b/>
                <w:bCs/>
                <w:sz w:val="20"/>
                <w:szCs w:val="20"/>
                <w:rtl/>
              </w:rPr>
            </w:pPr>
          </w:p>
          <w:p w:rsidR="007D190C" w:rsidRPr="007D190C" w:rsidRDefault="00DE4D55" w:rsidP="007D190C">
            <w:pPr>
              <w:spacing w:after="160" w:line="252" w:lineRule="auto"/>
              <w:jc w:val="center"/>
              <w:rPr>
                <w:rFonts w:ascii="Calibri" w:hAnsi="Calibri"/>
                <w:b/>
                <w:bCs/>
                <w:sz w:val="20"/>
                <w:szCs w:val="20"/>
              </w:rPr>
            </w:pPr>
            <w:r w:rsidRPr="007D190C">
              <w:rPr>
                <w:noProof/>
              </w:rPr>
              <w:drawing>
                <wp:inline distT="0" distB="0" distL="0" distR="0">
                  <wp:extent cx="647065" cy="694690"/>
                  <wp:effectExtent l="0" t="0" r="635" b="0"/>
                  <wp:docPr id="7"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תמונה 2"/>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647065" cy="694690"/>
                          </a:xfrm>
                          <a:prstGeom prst="rect">
                            <a:avLst/>
                          </a:prstGeom>
                          <a:noFill/>
                          <a:ln>
                            <a:noFill/>
                          </a:ln>
                        </pic:spPr>
                      </pic:pic>
                    </a:graphicData>
                  </a:graphic>
                </wp:inline>
              </w:drawing>
            </w:r>
          </w:p>
        </w:tc>
        <w:tc>
          <w:tcPr>
            <w:tcW w:w="282" w:type="dxa"/>
            <w:tcMar>
              <w:top w:w="0" w:type="dxa"/>
              <w:left w:w="108" w:type="dxa"/>
              <w:bottom w:w="0" w:type="dxa"/>
              <w:right w:w="108" w:type="dxa"/>
            </w:tcMar>
            <w:vAlign w:val="center"/>
          </w:tcPr>
          <w:p w:rsidR="007D190C" w:rsidRPr="007D190C" w:rsidRDefault="007D190C" w:rsidP="007D190C">
            <w:pPr>
              <w:spacing w:after="160" w:line="252" w:lineRule="auto"/>
              <w:jc w:val="center"/>
              <w:rPr>
                <w:rFonts w:ascii="Courier New" w:hAnsi="Courier New" w:cs="Courier New"/>
                <w:b/>
                <w:bCs/>
                <w:rtl/>
              </w:rPr>
            </w:pPr>
          </w:p>
        </w:tc>
        <w:tc>
          <w:tcPr>
            <w:tcW w:w="2628" w:type="dxa"/>
            <w:tcBorders>
              <w:top w:val="nil"/>
              <w:left w:val="nil"/>
              <w:bottom w:val="single" w:sz="8" w:space="0" w:color="auto"/>
              <w:right w:val="nil"/>
            </w:tcBorders>
            <w:tcMar>
              <w:top w:w="0" w:type="dxa"/>
              <w:left w:w="108" w:type="dxa"/>
              <w:bottom w:w="0" w:type="dxa"/>
              <w:right w:w="108" w:type="dxa"/>
            </w:tcMar>
            <w:vAlign w:val="center"/>
            <w:hideMark/>
          </w:tcPr>
          <w:p w:rsidR="007D190C" w:rsidRPr="007D190C" w:rsidRDefault="00DE4D55" w:rsidP="007D190C">
            <w:pPr>
              <w:spacing w:after="160" w:line="252" w:lineRule="auto"/>
              <w:jc w:val="center"/>
              <w:rPr>
                <w:rFonts w:ascii="Courier New" w:hAnsi="Courier New" w:cs="Courier New"/>
                <w:b/>
                <w:bCs/>
                <w:sz w:val="20"/>
                <w:szCs w:val="20"/>
              </w:rPr>
            </w:pPr>
            <w:r w:rsidRPr="007D190C">
              <w:rPr>
                <w:noProof/>
              </w:rPr>
              <w:drawing>
                <wp:anchor distT="0" distB="0" distL="114300" distR="114300" simplePos="0" relativeHeight="251659264" behindDoc="0" locked="0" layoutInCell="1" allowOverlap="1">
                  <wp:simplePos x="0" y="0"/>
                  <wp:positionH relativeFrom="column">
                    <wp:posOffset>255270</wp:posOffset>
                  </wp:positionH>
                  <wp:positionV relativeFrom="paragraph">
                    <wp:posOffset>441325</wp:posOffset>
                  </wp:positionV>
                  <wp:extent cx="847725" cy="342900"/>
                  <wp:effectExtent l="0" t="0" r="9525" b="0"/>
                  <wp:wrapSquare wrapText="bothSides"/>
                  <wp:docPr id="10"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תמונה 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847725" cy="342900"/>
                          </a:xfrm>
                          <a:prstGeom prst="rect">
                            <a:avLst/>
                          </a:prstGeom>
                          <a:noFill/>
                        </pic:spPr>
                      </pic:pic>
                    </a:graphicData>
                  </a:graphic>
                  <wp14:sizeRelH relativeFrom="page">
                    <wp14:pctWidth>0</wp14:pctWidth>
                  </wp14:sizeRelH>
                  <wp14:sizeRelV relativeFrom="page">
                    <wp14:pctHeight>0</wp14:pctHeight>
                  </wp14:sizeRelV>
                </wp:anchor>
              </w:drawing>
            </w:r>
          </w:p>
        </w:tc>
      </w:tr>
      <w:tr w:rsidR="004B4EFA" w:rsidTr="007D190C">
        <w:trPr>
          <w:trHeight w:val="580"/>
        </w:trPr>
        <w:tc>
          <w:tcPr>
            <w:tcW w:w="2627" w:type="dxa"/>
            <w:tcMar>
              <w:top w:w="0" w:type="dxa"/>
              <w:left w:w="108" w:type="dxa"/>
              <w:bottom w:w="0" w:type="dxa"/>
              <w:right w:w="108" w:type="dxa"/>
            </w:tcMar>
            <w:hideMark/>
          </w:tcPr>
          <w:p w:rsidR="007D190C" w:rsidRPr="007D190C" w:rsidRDefault="00DE4D55" w:rsidP="007D190C">
            <w:pPr>
              <w:spacing w:after="160" w:line="252" w:lineRule="auto"/>
              <w:jc w:val="center"/>
              <w:rPr>
                <w:rFonts w:ascii="Calibri" w:hAnsi="Calibri"/>
                <w:b/>
                <w:bCs/>
              </w:rPr>
            </w:pPr>
            <w:r w:rsidRPr="007D190C">
              <w:rPr>
                <w:rFonts w:ascii="Calibri" w:hAnsi="Calibri"/>
                <w:b/>
                <w:bCs/>
                <w:rtl/>
              </w:rPr>
              <w:t>גיליה רביד, שופטת בכירה</w:t>
            </w:r>
          </w:p>
          <w:p w:rsidR="007D190C" w:rsidRPr="007D190C" w:rsidRDefault="00DE4D55" w:rsidP="007D190C">
            <w:pPr>
              <w:spacing w:after="160" w:line="252" w:lineRule="auto"/>
              <w:jc w:val="center"/>
              <w:rPr>
                <w:rFonts w:ascii="Calibri" w:hAnsi="Calibri"/>
                <w:b/>
                <w:bCs/>
              </w:rPr>
            </w:pPr>
            <w:r w:rsidRPr="007D190C">
              <w:rPr>
                <w:rFonts w:ascii="Calibri" w:hAnsi="Calibri"/>
                <w:b/>
                <w:bCs/>
                <w:rtl/>
              </w:rPr>
              <w:t>אב"ד</w:t>
            </w:r>
          </w:p>
        </w:tc>
        <w:tc>
          <w:tcPr>
            <w:tcW w:w="234" w:type="dxa"/>
            <w:tcMar>
              <w:top w:w="0" w:type="dxa"/>
              <w:left w:w="108" w:type="dxa"/>
              <w:bottom w:w="0" w:type="dxa"/>
              <w:right w:w="108" w:type="dxa"/>
            </w:tcMar>
          </w:tcPr>
          <w:p w:rsidR="007D190C" w:rsidRPr="007D190C" w:rsidRDefault="007D190C" w:rsidP="007D190C">
            <w:pPr>
              <w:spacing w:after="160" w:line="252" w:lineRule="auto"/>
              <w:jc w:val="center"/>
              <w:rPr>
                <w:rFonts w:ascii="Courier New" w:hAnsi="Courier New" w:cs="Courier New"/>
                <w:b/>
                <w:bCs/>
              </w:rPr>
            </w:pPr>
          </w:p>
        </w:tc>
        <w:tc>
          <w:tcPr>
            <w:tcW w:w="2826" w:type="dxa"/>
            <w:tcMar>
              <w:top w:w="0" w:type="dxa"/>
              <w:left w:w="108" w:type="dxa"/>
              <w:bottom w:w="0" w:type="dxa"/>
              <w:right w:w="108" w:type="dxa"/>
            </w:tcMar>
          </w:tcPr>
          <w:p w:rsidR="007D190C" w:rsidRPr="007D190C" w:rsidRDefault="00DE4D55" w:rsidP="007D190C">
            <w:pPr>
              <w:spacing w:after="160" w:line="252" w:lineRule="auto"/>
              <w:jc w:val="center"/>
              <w:rPr>
                <w:rFonts w:ascii="Calibri" w:hAnsi="Calibri"/>
                <w:b/>
                <w:bCs/>
                <w:rtl/>
              </w:rPr>
            </w:pPr>
            <w:r w:rsidRPr="007D190C">
              <w:rPr>
                <w:rFonts w:ascii="Calibri" w:hAnsi="Calibri"/>
                <w:b/>
                <w:bCs/>
                <w:rtl/>
              </w:rPr>
              <w:t xml:space="preserve">עודד </w:t>
            </w:r>
            <w:r w:rsidRPr="007D190C">
              <w:rPr>
                <w:rFonts w:ascii="Calibri" w:hAnsi="Calibri"/>
                <w:b/>
                <w:bCs/>
                <w:rtl/>
              </w:rPr>
              <w:t>מאור, שופט</w:t>
            </w:r>
          </w:p>
          <w:p w:rsidR="007D190C" w:rsidRPr="007D190C" w:rsidRDefault="007D190C" w:rsidP="007D190C">
            <w:pPr>
              <w:spacing w:after="160" w:line="252" w:lineRule="auto"/>
              <w:jc w:val="center"/>
              <w:rPr>
                <w:rFonts w:ascii="Calibri" w:hAnsi="Calibri"/>
                <w:b/>
                <w:bCs/>
              </w:rPr>
            </w:pPr>
          </w:p>
        </w:tc>
        <w:tc>
          <w:tcPr>
            <w:tcW w:w="282" w:type="dxa"/>
            <w:tcMar>
              <w:top w:w="0" w:type="dxa"/>
              <w:left w:w="108" w:type="dxa"/>
              <w:bottom w:w="0" w:type="dxa"/>
              <w:right w:w="108" w:type="dxa"/>
            </w:tcMar>
            <w:vAlign w:val="center"/>
          </w:tcPr>
          <w:p w:rsidR="007D190C" w:rsidRPr="007D190C" w:rsidRDefault="007D190C" w:rsidP="007D190C">
            <w:pPr>
              <w:spacing w:after="160" w:line="252" w:lineRule="auto"/>
              <w:jc w:val="center"/>
              <w:rPr>
                <w:rFonts w:ascii="Courier New" w:hAnsi="Courier New" w:cs="Courier New"/>
                <w:b/>
                <w:bCs/>
                <w:rtl/>
              </w:rPr>
            </w:pPr>
          </w:p>
        </w:tc>
        <w:tc>
          <w:tcPr>
            <w:tcW w:w="2628" w:type="dxa"/>
            <w:tcMar>
              <w:top w:w="0" w:type="dxa"/>
              <w:left w:w="108" w:type="dxa"/>
              <w:bottom w:w="0" w:type="dxa"/>
              <w:right w:w="108" w:type="dxa"/>
            </w:tcMar>
            <w:vAlign w:val="center"/>
          </w:tcPr>
          <w:p w:rsidR="007D190C" w:rsidRPr="007D190C" w:rsidRDefault="00DE4D55" w:rsidP="007D190C">
            <w:pPr>
              <w:spacing w:after="160" w:line="252" w:lineRule="auto"/>
              <w:jc w:val="center"/>
              <w:rPr>
                <w:rFonts w:ascii="Calibri" w:hAnsi="Calibri"/>
                <w:b/>
                <w:bCs/>
              </w:rPr>
            </w:pPr>
            <w:r w:rsidRPr="007D190C">
              <w:rPr>
                <w:rFonts w:ascii="Calibri" w:hAnsi="Calibri"/>
                <w:b/>
                <w:bCs/>
                <w:rtl/>
              </w:rPr>
              <w:t>שמואל מלמד, שופט</w:t>
            </w:r>
          </w:p>
          <w:p w:rsidR="007D190C" w:rsidRPr="007D190C" w:rsidRDefault="007D190C" w:rsidP="007D190C">
            <w:pPr>
              <w:spacing w:after="160" w:line="252" w:lineRule="auto"/>
              <w:jc w:val="right"/>
            </w:pPr>
          </w:p>
          <w:p w:rsidR="007D190C" w:rsidRPr="007D190C" w:rsidRDefault="007D190C" w:rsidP="007D190C">
            <w:pPr>
              <w:spacing w:after="160" w:line="252" w:lineRule="auto"/>
              <w:jc w:val="right"/>
              <w:rPr>
                <w:rFonts w:ascii="Calibri" w:hAnsi="Calibri"/>
                <w:rtl/>
              </w:rPr>
            </w:pPr>
          </w:p>
          <w:p w:rsidR="007D190C" w:rsidRPr="007D190C" w:rsidRDefault="007D190C" w:rsidP="007D190C">
            <w:pPr>
              <w:spacing w:after="160" w:line="252" w:lineRule="auto"/>
              <w:jc w:val="center"/>
              <w:rPr>
                <w:rtl/>
              </w:rPr>
            </w:pPr>
          </w:p>
        </w:tc>
      </w:tr>
    </w:tbl>
    <w:p w:rsidR="007D190C" w:rsidRPr="007D190C" w:rsidRDefault="007D190C" w:rsidP="007D190C"/>
    <w:p w:rsidR="007D190C" w:rsidRPr="007D190C" w:rsidRDefault="007D190C" w:rsidP="007D190C">
      <w:pPr>
        <w:bidi w:val="0"/>
        <w:rPr>
          <w:rFonts w:ascii="David" w:hAnsi="David"/>
        </w:rPr>
      </w:pPr>
    </w:p>
    <w:p w:rsidR="007D190C" w:rsidRPr="007D190C" w:rsidRDefault="007D190C" w:rsidP="007D190C">
      <w:pPr>
        <w:rPr>
          <w:rFonts w:ascii="David" w:hAnsi="David"/>
          <w:rtl/>
        </w:rPr>
      </w:pPr>
    </w:p>
    <w:p w:rsidR="007D190C" w:rsidRPr="007D190C" w:rsidRDefault="00DE4D55" w:rsidP="007D190C">
      <w:pPr>
        <w:jc w:val="center"/>
        <w:rPr>
          <w:rFonts w:ascii="Arial" w:hAnsi="Arial"/>
        </w:rPr>
      </w:pPr>
      <w:r w:rsidRPr="007D190C">
        <w:rPr>
          <w:rtl/>
        </w:rPr>
        <w:t xml:space="preserve">  </w:t>
      </w:r>
      <w:r w:rsidRPr="007D190C">
        <w:rPr>
          <w:rtl/>
        </w:rPr>
        <w:tab/>
      </w:r>
      <w:r w:rsidRPr="007D190C">
        <w:rPr>
          <w:rtl/>
        </w:rPr>
        <w:tab/>
      </w:r>
      <w:r w:rsidRPr="007D190C">
        <w:rPr>
          <w:rtl/>
        </w:rPr>
        <w:tab/>
      </w:r>
      <w:r w:rsidRPr="007D190C">
        <w:rPr>
          <w:rtl/>
        </w:rPr>
        <w:tab/>
      </w:r>
    </w:p>
    <w:p w:rsidR="007D190C" w:rsidRPr="007D190C" w:rsidRDefault="007D190C" w:rsidP="007D190C">
      <w:pPr>
        <w:rPr>
          <w:rtl/>
        </w:rPr>
      </w:pPr>
    </w:p>
    <w:p w:rsidR="007D190C" w:rsidRPr="007D190C" w:rsidRDefault="007D190C" w:rsidP="007D190C">
      <w:pPr>
        <w:tabs>
          <w:tab w:val="center" w:pos="4153"/>
          <w:tab w:val="right" w:pos="8306"/>
        </w:tabs>
        <w:jc w:val="center"/>
        <w:rPr>
          <w:rtl/>
        </w:rPr>
      </w:pPr>
    </w:p>
    <w:p w:rsidR="007D190C" w:rsidRPr="007D190C" w:rsidRDefault="007D190C" w:rsidP="007D190C">
      <w:pPr>
        <w:rPr>
          <w:rtl/>
        </w:rPr>
      </w:pPr>
    </w:p>
    <w:p w:rsidR="007D190C" w:rsidRPr="007D190C" w:rsidRDefault="007D190C" w:rsidP="007D190C">
      <w:pPr>
        <w:spacing w:line="360" w:lineRule="auto"/>
        <w:rPr>
          <w:rtl/>
        </w:rPr>
      </w:pPr>
    </w:p>
    <w:p w:rsidR="007D190C" w:rsidRPr="007D190C" w:rsidRDefault="007D190C" w:rsidP="007D190C">
      <w:pPr>
        <w:spacing w:line="360" w:lineRule="auto"/>
        <w:rPr>
          <w:rtl/>
        </w:rPr>
      </w:pPr>
    </w:p>
    <w:p w:rsidR="007D190C" w:rsidRPr="007D190C" w:rsidRDefault="007D190C" w:rsidP="007D190C">
      <w:pPr>
        <w:spacing w:line="360" w:lineRule="auto"/>
        <w:rPr>
          <w:rtl/>
        </w:rPr>
      </w:pPr>
    </w:p>
    <w:p w:rsidR="007D190C" w:rsidRPr="007D190C" w:rsidRDefault="007D190C" w:rsidP="007D190C">
      <w:pPr>
        <w:spacing w:line="360" w:lineRule="auto"/>
        <w:rPr>
          <w:rtl/>
        </w:rPr>
      </w:pPr>
    </w:p>
    <w:p w:rsidR="007D190C" w:rsidRPr="007D190C" w:rsidRDefault="007D190C" w:rsidP="00125A1A">
      <w:pPr>
        <w:tabs>
          <w:tab w:val="center" w:pos="4153"/>
          <w:tab w:val="right" w:pos="8306"/>
        </w:tabs>
        <w:rPr>
          <w:rtl/>
        </w:rPr>
      </w:pPr>
    </w:p>
    <w:p w:rsidR="007D190C" w:rsidRDefault="007D190C" w:rsidP="007D190C">
      <w:pPr>
        <w:spacing w:line="360" w:lineRule="auto"/>
        <w:jc w:val="both"/>
        <w:rPr>
          <w:rFonts w:ascii="David" w:hAnsi="David"/>
          <w:b/>
          <w:bCs/>
          <w:rtl/>
        </w:rPr>
      </w:pPr>
    </w:p>
    <w:p w:rsidR="003C5B79" w:rsidRDefault="003C5B79" w:rsidP="003C5B79">
      <w:pPr>
        <w:rPr>
          <w:rFonts w:ascii="David" w:hAnsi="David"/>
          <w:rtl/>
        </w:rPr>
      </w:pPr>
    </w:p>
    <w:sectPr w:rsidR="003C5B79" w:rsidSect="00507694">
      <w:headerReference w:type="even" r:id="rId10"/>
      <w:headerReference w:type="default" r:id="rId11"/>
      <w:footerReference w:type="even" r:id="rId12"/>
      <w:footerReference w:type="default" r:id="rId13"/>
      <w:headerReference w:type="first" r:id="rId14"/>
      <w:footerReference w:type="first" r:id="rId15"/>
      <w:pgSz w:w="11907" w:h="16840" w:code="9"/>
      <w:pgMar w:top="244" w:right="1701" w:bottom="2552" w:left="1701" w:header="187" w:footer="72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4D55" w:rsidRDefault="00DE4D55">
      <w:r>
        <w:separator/>
      </w:r>
    </w:p>
  </w:endnote>
  <w:endnote w:type="continuationSeparator" w:id="0">
    <w:p w:rsidR="00DE4D55" w:rsidRDefault="00DE4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Times New (W1)">
    <w:altName w:val="Times New Roman"/>
    <w:charset w:val="00"/>
    <w:family w:val="roman"/>
    <w:pitch w:val="variable"/>
    <w:sig w:usb0="20007A87" w:usb1="80000000" w:usb2="00000008" w:usb3="00000000" w:csb0="000001FF"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DE4D55" w:rsidP="007D46DD">
    <w:pPr>
      <w:pStyle w:val="a5"/>
      <w:framePr w:wrap="around" w:vAnchor="text" w:hAnchor="text" w:y="1"/>
      <w:rPr>
        <w:rStyle w:val="aa"/>
      </w:rPr>
    </w:pPr>
    <w:r>
      <w:rPr>
        <w:rStyle w:val="aa"/>
        <w:rtl/>
      </w:rPr>
      <w:fldChar w:fldCharType="begin"/>
    </w:r>
    <w:r>
      <w:rPr>
        <w:rStyle w:val="aa"/>
      </w:rPr>
      <w:instrText xml:space="preserve">PAGE  </w:instrText>
    </w:r>
    <w:r>
      <w:rPr>
        <w:rStyle w:val="aa"/>
        <w:rtl/>
      </w:rPr>
      <w:fldChar w:fldCharType="end"/>
    </w:r>
  </w:p>
  <w:p w:rsidR="00BD67E7" w:rsidRDefault="00BD67E7" w:rsidP="00BD67E7">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DE4D55" w:rsidP="00BD67E7">
    <w:pPr>
      <w:pStyle w:val="a5"/>
      <w:ind w:right="360"/>
      <w:jc w:val="center"/>
    </w:pPr>
    <w:r>
      <w:rPr>
        <w:rtl/>
      </w:rPr>
      <w:t>עמוד</w:t>
    </w:r>
    <w:r>
      <w:t xml:space="preserve"> </w:t>
    </w:r>
    <w:r w:rsidR="0006726A">
      <w:fldChar w:fldCharType="begin"/>
    </w:r>
    <w:r>
      <w:instrText xml:space="preserve"> PAGE </w:instrText>
    </w:r>
    <w:r w:rsidR="0006726A">
      <w:fldChar w:fldCharType="separate"/>
    </w:r>
    <w:r w:rsidR="00CC5692">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CC5692">
      <w:rPr>
        <w:noProof/>
        <w:rtl/>
      </w:rPr>
      <w:t>43</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692" w:rsidRDefault="00CC569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4D55" w:rsidRDefault="00DE4D55">
      <w:r>
        <w:separator/>
      </w:r>
    </w:p>
  </w:footnote>
  <w:footnote w:type="continuationSeparator" w:id="0">
    <w:p w:rsidR="00DE4D55" w:rsidRDefault="00DE4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692" w:rsidRDefault="00CC569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DE4D55">
    <w:pPr>
      <w:pStyle w:val="a3"/>
      <w:jc w:val="center"/>
      <w:rPr>
        <w:rFonts w:cs="FrankRuehl"/>
        <w:sz w:val="28"/>
        <w:szCs w:val="28"/>
        <w:rtl/>
      </w:rPr>
    </w:pPr>
    <w:r>
      <w:rPr>
        <w:rFonts w:cs="FrankRuehl"/>
        <w:noProof/>
        <w:sz w:val="28"/>
        <w:szCs w:val="28"/>
      </w:rPr>
      <w:drawing>
        <wp:inline distT="0" distB="0" distL="0" distR="0">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36"/>
      <w:gridCol w:w="3569"/>
    </w:tblGrid>
    <w:tr w:rsidR="004B4EFA">
      <w:trPr>
        <w:trHeight w:hRule="exact" w:val="418"/>
        <w:jc w:val="center"/>
      </w:trPr>
      <w:sdt>
        <w:sdtPr>
          <w:rPr>
            <w:sz w:val="32"/>
            <w:szCs w:val="32"/>
            <w:rtl/>
          </w:rPr>
          <w:alias w:val="1174"/>
          <w:tag w:val="1174"/>
          <w:id w:val="-140351139"/>
          <w:text/>
        </w:sdtPr>
        <w:sdtEndPr/>
        <w:sdtContent>
          <w:tc>
            <w:tcPr>
              <w:tcW w:w="8861" w:type="dxa"/>
              <w:gridSpan w:val="2"/>
            </w:tcPr>
            <w:p w:rsidR="00507694" w:rsidRPr="00250B83" w:rsidRDefault="00DE4D55">
              <w:pPr>
                <w:pStyle w:val="a3"/>
                <w:jc w:val="center"/>
                <w:rPr>
                  <w:rFonts w:ascii="Tahoma" w:hAnsi="Tahoma"/>
                  <w:color w:val="000080"/>
                  <w:sz w:val="32"/>
                  <w:szCs w:val="32"/>
                  <w:rtl/>
                </w:rPr>
              </w:pPr>
              <w:r w:rsidRPr="00250B83">
                <w:rPr>
                  <w:rFonts w:ascii="Tahoma" w:hAnsi="Tahoma"/>
                  <w:b/>
                  <w:bCs/>
                  <w:color w:val="000080"/>
                  <w:sz w:val="32"/>
                  <w:szCs w:val="32"/>
                  <w:rtl/>
                </w:rPr>
                <w:t>בית משפט לנוער בבית המשפט המחוזי בתל אביב - יפו</w:t>
              </w:r>
            </w:p>
          </w:tc>
        </w:sdtContent>
      </w:sdt>
    </w:tr>
    <w:tr w:rsidR="004B4EFA">
      <w:trPr>
        <w:trHeight w:val="337"/>
        <w:jc w:val="center"/>
      </w:trPr>
      <w:tc>
        <w:tcPr>
          <w:tcW w:w="5131" w:type="dxa"/>
        </w:tcPr>
        <w:p w:rsidR="00507694" w:rsidRPr="00250B83" w:rsidRDefault="00DE4D55" w:rsidP="008029BF">
          <w:pPr>
            <w:rPr>
              <w:sz w:val="26"/>
              <w:szCs w:val="26"/>
              <w:rtl/>
            </w:rPr>
          </w:pPr>
          <w:sdt>
            <w:sdtPr>
              <w:rPr>
                <w:sz w:val="26"/>
                <w:szCs w:val="26"/>
                <w:rtl/>
              </w:rPr>
              <w:alias w:val="1170"/>
              <w:tag w:val="1170"/>
              <w:id w:val="2112628154"/>
              <w:text w:multiLine="1"/>
            </w:sdtPr>
            <w:sdtEndPr/>
            <w:sdtContent>
              <w:r w:rsidR="008F225F">
                <w:rPr>
                  <w:sz w:val="26"/>
                  <w:szCs w:val="26"/>
                  <w:rtl/>
                </w:rPr>
                <w:t>תפח"ע</w:t>
              </w:r>
            </w:sdtContent>
          </w:sdt>
          <w:r w:rsidR="00684E84" w:rsidRPr="00250B83">
            <w:rPr>
              <w:rFonts w:hint="cs"/>
              <w:sz w:val="26"/>
              <w:szCs w:val="26"/>
              <w:rtl/>
            </w:rPr>
            <w:t xml:space="preserve"> </w:t>
          </w:r>
          <w:bookmarkStart w:id="0" w:name="_GoBack"/>
          <w:sdt>
            <w:sdtPr>
              <w:rPr>
                <w:sz w:val="26"/>
                <w:szCs w:val="26"/>
                <w:rtl/>
              </w:rPr>
              <w:alias w:val="1171"/>
              <w:tag w:val="1171"/>
              <w:id w:val="-1870053316"/>
              <w:text w:multiLine="1"/>
            </w:sdtPr>
            <w:sdtEndPr/>
            <w:sdtContent>
              <w:r w:rsidR="008F225F">
                <w:rPr>
                  <w:sz w:val="26"/>
                  <w:szCs w:val="26"/>
                  <w:rtl/>
                </w:rPr>
                <w:t>51183-12-21</w:t>
              </w:r>
            </w:sdtContent>
          </w:sdt>
          <w:bookmarkEnd w:id="0"/>
          <w:r w:rsidR="00684E84" w:rsidRPr="00250B83">
            <w:rPr>
              <w:rFonts w:hint="cs"/>
              <w:sz w:val="26"/>
              <w:szCs w:val="26"/>
              <w:rtl/>
            </w:rPr>
            <w:t xml:space="preserve"> </w:t>
          </w:r>
          <w:sdt>
            <w:sdtPr>
              <w:rPr>
                <w:sz w:val="26"/>
                <w:szCs w:val="26"/>
                <w:rtl/>
              </w:rPr>
              <w:alias w:val="1172"/>
              <w:tag w:val="1172"/>
              <w:id w:val="-2143494014"/>
              <w:text w:multiLine="1"/>
            </w:sdtPr>
            <w:sdtEndPr/>
            <w:sdtContent>
              <w:r w:rsidR="008F225F">
                <w:rPr>
                  <w:sz w:val="26"/>
                  <w:szCs w:val="26"/>
                  <w:rtl/>
                </w:rPr>
                <w:t xml:space="preserve">מדינת ישראל נ' </w:t>
              </w:r>
              <w:r w:rsidR="008029BF">
                <w:rPr>
                  <w:rFonts w:hint="cs"/>
                  <w:sz w:val="26"/>
                  <w:szCs w:val="26"/>
                  <w:rtl/>
                </w:rPr>
                <w:t>פלוני</w:t>
              </w:r>
            </w:sdtContent>
          </w:sdt>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DE4D55">
    <w:pPr>
      <w:pStyle w:val="a3"/>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692" w:rsidRDefault="00CC569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43433"/>
    <w:multiLevelType w:val="hybridMultilevel"/>
    <w:tmpl w:val="F2B0DCEC"/>
    <w:lvl w:ilvl="0" w:tplc="55309DFA">
      <w:start w:val="1"/>
      <w:numFmt w:val="decimal"/>
      <w:lvlText w:val="%1."/>
      <w:lvlJc w:val="left"/>
      <w:pPr>
        <w:ind w:left="720" w:hanging="360"/>
      </w:pPr>
      <w:rPr>
        <w:rFonts w:ascii="David" w:hAnsi="David" w:cs="David" w:hint="default"/>
        <w:sz w:val="24"/>
        <w:szCs w:val="24"/>
      </w:rPr>
    </w:lvl>
    <w:lvl w:ilvl="1" w:tplc="EB68B4F4">
      <w:start w:val="1"/>
      <w:numFmt w:val="lowerLetter"/>
      <w:lvlText w:val="%2."/>
      <w:lvlJc w:val="left"/>
      <w:pPr>
        <w:ind w:left="1440" w:hanging="360"/>
      </w:pPr>
    </w:lvl>
    <w:lvl w:ilvl="2" w:tplc="91C2616C">
      <w:start w:val="1"/>
      <w:numFmt w:val="lowerRoman"/>
      <w:lvlText w:val="%3."/>
      <w:lvlJc w:val="right"/>
      <w:pPr>
        <w:ind w:left="2160" w:hanging="180"/>
      </w:pPr>
    </w:lvl>
    <w:lvl w:ilvl="3" w:tplc="D9004DC0">
      <w:start w:val="1"/>
      <w:numFmt w:val="decimal"/>
      <w:lvlText w:val="%4."/>
      <w:lvlJc w:val="left"/>
      <w:pPr>
        <w:ind w:left="2880" w:hanging="360"/>
      </w:pPr>
    </w:lvl>
    <w:lvl w:ilvl="4" w:tplc="20E8E974">
      <w:start w:val="1"/>
      <w:numFmt w:val="lowerLetter"/>
      <w:lvlText w:val="%5."/>
      <w:lvlJc w:val="left"/>
      <w:pPr>
        <w:ind w:left="3600" w:hanging="360"/>
      </w:pPr>
    </w:lvl>
    <w:lvl w:ilvl="5" w:tplc="85DA701E">
      <w:start w:val="1"/>
      <w:numFmt w:val="lowerRoman"/>
      <w:lvlText w:val="%6."/>
      <w:lvlJc w:val="right"/>
      <w:pPr>
        <w:ind w:left="4320" w:hanging="180"/>
      </w:pPr>
    </w:lvl>
    <w:lvl w:ilvl="6" w:tplc="90E069F0">
      <w:start w:val="1"/>
      <w:numFmt w:val="decimal"/>
      <w:lvlText w:val="%7."/>
      <w:lvlJc w:val="left"/>
      <w:pPr>
        <w:ind w:left="5040" w:hanging="360"/>
      </w:pPr>
    </w:lvl>
    <w:lvl w:ilvl="7" w:tplc="74486E7C">
      <w:start w:val="1"/>
      <w:numFmt w:val="lowerLetter"/>
      <w:lvlText w:val="%8."/>
      <w:lvlJc w:val="left"/>
      <w:pPr>
        <w:ind w:left="5760" w:hanging="360"/>
      </w:pPr>
    </w:lvl>
    <w:lvl w:ilvl="8" w:tplc="FBA214B8">
      <w:start w:val="1"/>
      <w:numFmt w:val="lowerRoman"/>
      <w:lvlText w:val="%9."/>
      <w:lvlJc w:val="right"/>
      <w:pPr>
        <w:ind w:left="6480" w:hanging="180"/>
      </w:pPr>
    </w:lvl>
  </w:abstractNum>
  <w:abstractNum w:abstractNumId="1" w15:restartNumberingAfterBreak="0">
    <w:nsid w:val="0F54328F"/>
    <w:multiLevelType w:val="hybridMultilevel"/>
    <w:tmpl w:val="658E75CE"/>
    <w:lvl w:ilvl="0" w:tplc="B4FA65C0">
      <w:start w:val="1"/>
      <w:numFmt w:val="decimal"/>
      <w:lvlText w:val="%1."/>
      <w:lvlJc w:val="left"/>
      <w:pPr>
        <w:ind w:left="1170" w:hanging="360"/>
      </w:pPr>
    </w:lvl>
    <w:lvl w:ilvl="1" w:tplc="FC748B0A">
      <w:start w:val="1"/>
      <w:numFmt w:val="lowerLetter"/>
      <w:lvlText w:val="%2."/>
      <w:lvlJc w:val="left"/>
      <w:pPr>
        <w:ind w:left="1890" w:hanging="360"/>
      </w:pPr>
    </w:lvl>
    <w:lvl w:ilvl="2" w:tplc="65609686">
      <w:start w:val="1"/>
      <w:numFmt w:val="lowerRoman"/>
      <w:lvlText w:val="%3."/>
      <w:lvlJc w:val="right"/>
      <w:pPr>
        <w:ind w:left="2610" w:hanging="180"/>
      </w:pPr>
    </w:lvl>
    <w:lvl w:ilvl="3" w:tplc="09880144">
      <w:start w:val="1"/>
      <w:numFmt w:val="decimal"/>
      <w:lvlText w:val="%4."/>
      <w:lvlJc w:val="left"/>
      <w:pPr>
        <w:ind w:left="3330" w:hanging="360"/>
      </w:pPr>
    </w:lvl>
    <w:lvl w:ilvl="4" w:tplc="E924A6F8">
      <w:start w:val="1"/>
      <w:numFmt w:val="lowerLetter"/>
      <w:lvlText w:val="%5."/>
      <w:lvlJc w:val="left"/>
      <w:pPr>
        <w:ind w:left="4050" w:hanging="360"/>
      </w:pPr>
    </w:lvl>
    <w:lvl w:ilvl="5" w:tplc="0F8A8AD8">
      <w:start w:val="1"/>
      <w:numFmt w:val="lowerRoman"/>
      <w:lvlText w:val="%6."/>
      <w:lvlJc w:val="right"/>
      <w:pPr>
        <w:ind w:left="4770" w:hanging="180"/>
      </w:pPr>
    </w:lvl>
    <w:lvl w:ilvl="6" w:tplc="E0C6AA9E">
      <w:start w:val="1"/>
      <w:numFmt w:val="decimal"/>
      <w:lvlText w:val="%7."/>
      <w:lvlJc w:val="left"/>
      <w:pPr>
        <w:ind w:left="5490" w:hanging="360"/>
      </w:pPr>
    </w:lvl>
    <w:lvl w:ilvl="7" w:tplc="004A5086">
      <w:start w:val="1"/>
      <w:numFmt w:val="lowerLetter"/>
      <w:lvlText w:val="%8."/>
      <w:lvlJc w:val="left"/>
      <w:pPr>
        <w:ind w:left="6210" w:hanging="360"/>
      </w:pPr>
    </w:lvl>
    <w:lvl w:ilvl="8" w:tplc="BA063230">
      <w:start w:val="1"/>
      <w:numFmt w:val="lowerRoman"/>
      <w:lvlText w:val="%9."/>
      <w:lvlJc w:val="right"/>
      <w:pPr>
        <w:ind w:left="6930" w:hanging="180"/>
      </w:pPr>
    </w:lvl>
  </w:abstractNum>
  <w:abstractNum w:abstractNumId="2" w15:restartNumberingAfterBreak="0">
    <w:nsid w:val="18DF5203"/>
    <w:multiLevelType w:val="hybridMultilevel"/>
    <w:tmpl w:val="13FC0D5A"/>
    <w:lvl w:ilvl="0" w:tplc="EF9E084C">
      <w:start w:val="1"/>
      <w:numFmt w:val="decimal"/>
      <w:lvlText w:val="%1."/>
      <w:lvlJc w:val="left"/>
      <w:pPr>
        <w:tabs>
          <w:tab w:val="num" w:pos="1080"/>
        </w:tabs>
        <w:ind w:left="1080" w:hanging="720"/>
      </w:pPr>
      <w:rPr>
        <w:rFonts w:ascii="Times New (W1)" w:hAnsi="Times New (W1)" w:cs="Times New (W1)" w:hint="default"/>
        <w:color w:val="auto"/>
      </w:rPr>
    </w:lvl>
    <w:lvl w:ilvl="1" w:tplc="A43E646A" w:tentative="1">
      <w:start w:val="1"/>
      <w:numFmt w:val="lowerLetter"/>
      <w:lvlText w:val="%2."/>
      <w:lvlJc w:val="left"/>
      <w:pPr>
        <w:tabs>
          <w:tab w:val="num" w:pos="1440"/>
        </w:tabs>
        <w:ind w:left="1440" w:hanging="360"/>
      </w:pPr>
    </w:lvl>
    <w:lvl w:ilvl="2" w:tplc="8CB8124A" w:tentative="1">
      <w:start w:val="1"/>
      <w:numFmt w:val="lowerRoman"/>
      <w:lvlText w:val="%3."/>
      <w:lvlJc w:val="right"/>
      <w:pPr>
        <w:tabs>
          <w:tab w:val="num" w:pos="2160"/>
        </w:tabs>
        <w:ind w:left="2160" w:hanging="180"/>
      </w:pPr>
    </w:lvl>
    <w:lvl w:ilvl="3" w:tplc="0220E112" w:tentative="1">
      <w:start w:val="1"/>
      <w:numFmt w:val="decimal"/>
      <w:lvlText w:val="%4."/>
      <w:lvlJc w:val="left"/>
      <w:pPr>
        <w:tabs>
          <w:tab w:val="num" w:pos="2880"/>
        </w:tabs>
        <w:ind w:left="2880" w:hanging="360"/>
      </w:pPr>
    </w:lvl>
    <w:lvl w:ilvl="4" w:tplc="31C4A1D2" w:tentative="1">
      <w:start w:val="1"/>
      <w:numFmt w:val="lowerLetter"/>
      <w:lvlText w:val="%5."/>
      <w:lvlJc w:val="left"/>
      <w:pPr>
        <w:tabs>
          <w:tab w:val="num" w:pos="3600"/>
        </w:tabs>
        <w:ind w:left="3600" w:hanging="360"/>
      </w:pPr>
    </w:lvl>
    <w:lvl w:ilvl="5" w:tplc="A0901B22" w:tentative="1">
      <w:start w:val="1"/>
      <w:numFmt w:val="lowerRoman"/>
      <w:lvlText w:val="%6."/>
      <w:lvlJc w:val="right"/>
      <w:pPr>
        <w:tabs>
          <w:tab w:val="num" w:pos="4320"/>
        </w:tabs>
        <w:ind w:left="4320" w:hanging="180"/>
      </w:pPr>
    </w:lvl>
    <w:lvl w:ilvl="6" w:tplc="5066D4F6" w:tentative="1">
      <w:start w:val="1"/>
      <w:numFmt w:val="decimal"/>
      <w:lvlText w:val="%7."/>
      <w:lvlJc w:val="left"/>
      <w:pPr>
        <w:tabs>
          <w:tab w:val="num" w:pos="5040"/>
        </w:tabs>
        <w:ind w:left="5040" w:hanging="360"/>
      </w:pPr>
    </w:lvl>
    <w:lvl w:ilvl="7" w:tplc="73AE71C4" w:tentative="1">
      <w:start w:val="1"/>
      <w:numFmt w:val="lowerLetter"/>
      <w:lvlText w:val="%8."/>
      <w:lvlJc w:val="left"/>
      <w:pPr>
        <w:tabs>
          <w:tab w:val="num" w:pos="5760"/>
        </w:tabs>
        <w:ind w:left="5760" w:hanging="360"/>
      </w:pPr>
    </w:lvl>
    <w:lvl w:ilvl="8" w:tplc="D2140384" w:tentative="1">
      <w:start w:val="1"/>
      <w:numFmt w:val="lowerRoman"/>
      <w:lvlText w:val="%9."/>
      <w:lvlJc w:val="right"/>
      <w:pPr>
        <w:tabs>
          <w:tab w:val="num" w:pos="6480"/>
        </w:tabs>
        <w:ind w:left="6480" w:hanging="180"/>
      </w:pPr>
    </w:lvl>
  </w:abstractNum>
  <w:abstractNum w:abstractNumId="3" w15:restartNumberingAfterBreak="0">
    <w:nsid w:val="52DB5CE5"/>
    <w:multiLevelType w:val="hybridMultilevel"/>
    <w:tmpl w:val="901E528C"/>
    <w:lvl w:ilvl="0" w:tplc="CC461888">
      <w:start w:val="1"/>
      <w:numFmt w:val="hebrew1"/>
      <w:lvlText w:val="%1."/>
      <w:lvlJc w:val="left"/>
      <w:pPr>
        <w:tabs>
          <w:tab w:val="num" w:pos="1080"/>
        </w:tabs>
        <w:ind w:left="1080" w:hanging="720"/>
      </w:pPr>
      <w:rPr>
        <w:rFonts w:hint="default"/>
      </w:rPr>
    </w:lvl>
    <w:lvl w:ilvl="1" w:tplc="A2DECF7E" w:tentative="1">
      <w:start w:val="1"/>
      <w:numFmt w:val="lowerLetter"/>
      <w:lvlText w:val="%2."/>
      <w:lvlJc w:val="left"/>
      <w:pPr>
        <w:tabs>
          <w:tab w:val="num" w:pos="1440"/>
        </w:tabs>
        <w:ind w:left="1440" w:hanging="360"/>
      </w:pPr>
    </w:lvl>
    <w:lvl w:ilvl="2" w:tplc="8C96015E" w:tentative="1">
      <w:start w:val="1"/>
      <w:numFmt w:val="lowerRoman"/>
      <w:lvlText w:val="%3."/>
      <w:lvlJc w:val="right"/>
      <w:pPr>
        <w:tabs>
          <w:tab w:val="num" w:pos="2160"/>
        </w:tabs>
        <w:ind w:left="2160" w:hanging="180"/>
      </w:pPr>
    </w:lvl>
    <w:lvl w:ilvl="3" w:tplc="E3E2DEF6" w:tentative="1">
      <w:start w:val="1"/>
      <w:numFmt w:val="decimal"/>
      <w:lvlText w:val="%4."/>
      <w:lvlJc w:val="left"/>
      <w:pPr>
        <w:tabs>
          <w:tab w:val="num" w:pos="2880"/>
        </w:tabs>
        <w:ind w:left="2880" w:hanging="360"/>
      </w:pPr>
    </w:lvl>
    <w:lvl w:ilvl="4" w:tplc="06DC8406" w:tentative="1">
      <w:start w:val="1"/>
      <w:numFmt w:val="lowerLetter"/>
      <w:lvlText w:val="%5."/>
      <w:lvlJc w:val="left"/>
      <w:pPr>
        <w:tabs>
          <w:tab w:val="num" w:pos="3600"/>
        </w:tabs>
        <w:ind w:left="3600" w:hanging="360"/>
      </w:pPr>
    </w:lvl>
    <w:lvl w:ilvl="5" w:tplc="70749CE2" w:tentative="1">
      <w:start w:val="1"/>
      <w:numFmt w:val="lowerRoman"/>
      <w:lvlText w:val="%6."/>
      <w:lvlJc w:val="right"/>
      <w:pPr>
        <w:tabs>
          <w:tab w:val="num" w:pos="4320"/>
        </w:tabs>
        <w:ind w:left="4320" w:hanging="180"/>
      </w:pPr>
    </w:lvl>
    <w:lvl w:ilvl="6" w:tplc="132AA6C0" w:tentative="1">
      <w:start w:val="1"/>
      <w:numFmt w:val="decimal"/>
      <w:lvlText w:val="%7."/>
      <w:lvlJc w:val="left"/>
      <w:pPr>
        <w:tabs>
          <w:tab w:val="num" w:pos="5040"/>
        </w:tabs>
        <w:ind w:left="5040" w:hanging="360"/>
      </w:pPr>
    </w:lvl>
    <w:lvl w:ilvl="7" w:tplc="95CC5138" w:tentative="1">
      <w:start w:val="1"/>
      <w:numFmt w:val="lowerLetter"/>
      <w:lvlText w:val="%8."/>
      <w:lvlJc w:val="left"/>
      <w:pPr>
        <w:tabs>
          <w:tab w:val="num" w:pos="5760"/>
        </w:tabs>
        <w:ind w:left="5760" w:hanging="360"/>
      </w:pPr>
    </w:lvl>
    <w:lvl w:ilvl="8" w:tplc="40CC6034" w:tentative="1">
      <w:start w:val="1"/>
      <w:numFmt w:val="lowerRoman"/>
      <w:lvlText w:val="%9."/>
      <w:lvlJc w:val="right"/>
      <w:pPr>
        <w:tabs>
          <w:tab w:val="num" w:pos="6480"/>
        </w:tabs>
        <w:ind w:left="6480" w:hanging="180"/>
      </w:pPr>
    </w:lvl>
  </w:abstractNum>
  <w:abstractNum w:abstractNumId="4" w15:restartNumberingAfterBreak="0">
    <w:nsid w:val="7CD263D7"/>
    <w:multiLevelType w:val="hybridMultilevel"/>
    <w:tmpl w:val="658E75CE"/>
    <w:lvl w:ilvl="0" w:tplc="3AFC41BC">
      <w:start w:val="1"/>
      <w:numFmt w:val="decimal"/>
      <w:lvlText w:val="%1."/>
      <w:lvlJc w:val="left"/>
      <w:pPr>
        <w:ind w:left="1170" w:hanging="360"/>
      </w:pPr>
    </w:lvl>
    <w:lvl w:ilvl="1" w:tplc="5F129D20">
      <w:start w:val="1"/>
      <w:numFmt w:val="lowerLetter"/>
      <w:lvlText w:val="%2."/>
      <w:lvlJc w:val="left"/>
      <w:pPr>
        <w:ind w:left="1890" w:hanging="360"/>
      </w:pPr>
    </w:lvl>
    <w:lvl w:ilvl="2" w:tplc="4ADC46F0">
      <w:start w:val="1"/>
      <w:numFmt w:val="lowerRoman"/>
      <w:lvlText w:val="%3."/>
      <w:lvlJc w:val="right"/>
      <w:pPr>
        <w:ind w:left="2610" w:hanging="180"/>
      </w:pPr>
    </w:lvl>
    <w:lvl w:ilvl="3" w:tplc="B2D63024">
      <w:start w:val="1"/>
      <w:numFmt w:val="decimal"/>
      <w:lvlText w:val="%4."/>
      <w:lvlJc w:val="left"/>
      <w:pPr>
        <w:ind w:left="3330" w:hanging="360"/>
      </w:pPr>
    </w:lvl>
    <w:lvl w:ilvl="4" w:tplc="2CAC0D82">
      <w:start w:val="1"/>
      <w:numFmt w:val="lowerLetter"/>
      <w:lvlText w:val="%5."/>
      <w:lvlJc w:val="left"/>
      <w:pPr>
        <w:ind w:left="4050" w:hanging="360"/>
      </w:pPr>
    </w:lvl>
    <w:lvl w:ilvl="5" w:tplc="B14E840A">
      <w:start w:val="1"/>
      <w:numFmt w:val="lowerRoman"/>
      <w:lvlText w:val="%6."/>
      <w:lvlJc w:val="right"/>
      <w:pPr>
        <w:ind w:left="4770" w:hanging="180"/>
      </w:pPr>
    </w:lvl>
    <w:lvl w:ilvl="6" w:tplc="F6FE2D04">
      <w:start w:val="1"/>
      <w:numFmt w:val="decimal"/>
      <w:lvlText w:val="%7."/>
      <w:lvlJc w:val="left"/>
      <w:pPr>
        <w:ind w:left="5490" w:hanging="360"/>
      </w:pPr>
    </w:lvl>
    <w:lvl w:ilvl="7" w:tplc="65A4E0C6">
      <w:start w:val="1"/>
      <w:numFmt w:val="lowerLetter"/>
      <w:lvlText w:val="%8."/>
      <w:lvlJc w:val="left"/>
      <w:pPr>
        <w:ind w:left="6210" w:hanging="360"/>
      </w:pPr>
    </w:lvl>
    <w:lvl w:ilvl="8" w:tplc="8F6A7A18">
      <w:start w:val="1"/>
      <w:numFmt w:val="lowerRoman"/>
      <w:lvlText w:val="%9."/>
      <w:lvlJc w:val="right"/>
      <w:pPr>
        <w:ind w:left="6930" w:hanging="180"/>
      </w:pPr>
    </w:lvl>
  </w:abstractNum>
  <w:num w:numId="1">
    <w:abstractNumId w:val="3"/>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694"/>
    <w:rsid w:val="00007F15"/>
    <w:rsid w:val="00031F8A"/>
    <w:rsid w:val="00054FC4"/>
    <w:rsid w:val="0006726A"/>
    <w:rsid w:val="000E7FE9"/>
    <w:rsid w:val="00100577"/>
    <w:rsid w:val="00125A1A"/>
    <w:rsid w:val="001608FA"/>
    <w:rsid w:val="001621BC"/>
    <w:rsid w:val="00170F82"/>
    <w:rsid w:val="001832E4"/>
    <w:rsid w:val="00212125"/>
    <w:rsid w:val="00212457"/>
    <w:rsid w:val="002270B9"/>
    <w:rsid w:val="00243D0C"/>
    <w:rsid w:val="00250B83"/>
    <w:rsid w:val="002D6C61"/>
    <w:rsid w:val="00367565"/>
    <w:rsid w:val="00383ABB"/>
    <w:rsid w:val="00394CB8"/>
    <w:rsid w:val="003C5B79"/>
    <w:rsid w:val="003E0C9F"/>
    <w:rsid w:val="00412056"/>
    <w:rsid w:val="004215DC"/>
    <w:rsid w:val="004B4EFA"/>
    <w:rsid w:val="00507694"/>
    <w:rsid w:val="00570723"/>
    <w:rsid w:val="005C7B0B"/>
    <w:rsid w:val="00604D7E"/>
    <w:rsid w:val="0061103C"/>
    <w:rsid w:val="00632D94"/>
    <w:rsid w:val="006466B3"/>
    <w:rsid w:val="00683ABD"/>
    <w:rsid w:val="00684E84"/>
    <w:rsid w:val="006C2095"/>
    <w:rsid w:val="006E04F5"/>
    <w:rsid w:val="006E06AC"/>
    <w:rsid w:val="00704813"/>
    <w:rsid w:val="00757983"/>
    <w:rsid w:val="007966F1"/>
    <w:rsid w:val="007A1C12"/>
    <w:rsid w:val="007C36DF"/>
    <w:rsid w:val="007D190C"/>
    <w:rsid w:val="007D46DD"/>
    <w:rsid w:val="007F745F"/>
    <w:rsid w:val="008029BF"/>
    <w:rsid w:val="00811B46"/>
    <w:rsid w:val="00821F29"/>
    <w:rsid w:val="00832D73"/>
    <w:rsid w:val="008819B4"/>
    <w:rsid w:val="008F225F"/>
    <w:rsid w:val="009356A6"/>
    <w:rsid w:val="009C028F"/>
    <w:rsid w:val="009E35A7"/>
    <w:rsid w:val="009E49A1"/>
    <w:rsid w:val="009F504D"/>
    <w:rsid w:val="00A44038"/>
    <w:rsid w:val="00A504C4"/>
    <w:rsid w:val="00A7528B"/>
    <w:rsid w:val="00B0064C"/>
    <w:rsid w:val="00B05847"/>
    <w:rsid w:val="00B22E0A"/>
    <w:rsid w:val="00B94E4C"/>
    <w:rsid w:val="00BD67E7"/>
    <w:rsid w:val="00BE0015"/>
    <w:rsid w:val="00C02463"/>
    <w:rsid w:val="00C55E62"/>
    <w:rsid w:val="00C572E8"/>
    <w:rsid w:val="00CC2F89"/>
    <w:rsid w:val="00CC5692"/>
    <w:rsid w:val="00CD1666"/>
    <w:rsid w:val="00D202F4"/>
    <w:rsid w:val="00D3203D"/>
    <w:rsid w:val="00D645C3"/>
    <w:rsid w:val="00DD7FE5"/>
    <w:rsid w:val="00DE4D55"/>
    <w:rsid w:val="00DF513B"/>
    <w:rsid w:val="00E70F9C"/>
    <w:rsid w:val="00EB047B"/>
    <w:rsid w:val="00F14810"/>
    <w:rsid w:val="00F75AFC"/>
    <w:rsid w:val="00FA4AA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A7B41"/>
    <w:pPr>
      <w:tabs>
        <w:tab w:val="center" w:pos="4153"/>
        <w:tab w:val="right" w:pos="8306"/>
      </w:tabs>
    </w:pPr>
  </w:style>
  <w:style w:type="paragraph" w:styleId="a5">
    <w:name w:val="footer"/>
    <w:basedOn w:val="a"/>
    <w:rsid w:val="003A7B41"/>
    <w:pPr>
      <w:tabs>
        <w:tab w:val="center" w:pos="4153"/>
        <w:tab w:val="right" w:pos="8306"/>
      </w:tabs>
    </w:pPr>
  </w:style>
  <w:style w:type="character" w:styleId="a6">
    <w:name w:val="annotation reference"/>
    <w:basedOn w:val="a0"/>
    <w:semiHidden/>
    <w:rsid w:val="003A7B41"/>
    <w:rPr>
      <w:sz w:val="16"/>
      <w:szCs w:val="16"/>
    </w:rPr>
  </w:style>
  <w:style w:type="paragraph" w:styleId="a7">
    <w:name w:val="annotation text"/>
    <w:basedOn w:val="a"/>
    <w:semiHidden/>
    <w:rsid w:val="003A7B41"/>
    <w:rPr>
      <w:rFonts w:cs="Times New Roman"/>
      <w:lang w:eastAsia="he-IL"/>
    </w:rPr>
  </w:style>
  <w:style w:type="paragraph" w:styleId="a8">
    <w:name w:val="Balloon Text"/>
    <w:basedOn w:val="a"/>
    <w:semiHidden/>
    <w:rsid w:val="003A7B41"/>
    <w:rPr>
      <w:rFonts w:ascii="Tahoma" w:hAnsi="Tahoma" w:cs="Tahoma"/>
      <w:sz w:val="16"/>
      <w:szCs w:val="16"/>
    </w:rPr>
  </w:style>
  <w:style w:type="table" w:styleId="a9">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basedOn w:val="a0"/>
    <w:rsid w:val="00BD67E7"/>
  </w:style>
  <w:style w:type="character" w:styleId="Hyperlink">
    <w:name w:val="Hyperlink"/>
    <w:basedOn w:val="a0"/>
    <w:uiPriority w:val="99"/>
    <w:semiHidden/>
    <w:unhideWhenUsed/>
    <w:rsid w:val="003C5B79"/>
    <w:rPr>
      <w:color w:val="0000FF" w:themeColor="hyperlink"/>
      <w:u w:val="single"/>
    </w:rPr>
  </w:style>
  <w:style w:type="character" w:customStyle="1" w:styleId="a4">
    <w:name w:val="כותרת עליונה תו"/>
    <w:basedOn w:val="a0"/>
    <w:link w:val="a3"/>
    <w:rsid w:val="003C5B79"/>
    <w:rPr>
      <w:rFonts w:cs="David"/>
      <w:sz w:val="24"/>
      <w:szCs w:val="24"/>
    </w:rPr>
  </w:style>
  <w:style w:type="paragraph" w:styleId="ab">
    <w:name w:val="List Paragraph"/>
    <w:basedOn w:val="a"/>
    <w:uiPriority w:val="34"/>
    <w:qFormat/>
    <w:rsid w:val="003C5B79"/>
    <w:pPr>
      <w:spacing w:after="160" w:line="252" w:lineRule="auto"/>
      <w:ind w:left="720"/>
      <w:contextualSpacing/>
    </w:pPr>
    <w:rPr>
      <w:rFonts w:asciiTheme="minorHAnsi" w:eastAsiaTheme="minorHAnsi" w:hAnsiTheme="minorHAnsi" w:cstheme="minorBidi"/>
      <w:sz w:val="22"/>
      <w:szCs w:val="22"/>
    </w:rPr>
  </w:style>
  <w:style w:type="paragraph" w:customStyle="1" w:styleId="Ruller4">
    <w:name w:val="Ruller 4 ממוספר"/>
    <w:basedOn w:val="a"/>
    <w:rsid w:val="003C5B79"/>
    <w:pPr>
      <w:overflowPunct w:val="0"/>
      <w:autoSpaceDE w:val="0"/>
      <w:autoSpaceDN w:val="0"/>
      <w:spacing w:line="360" w:lineRule="auto"/>
      <w:jc w:val="both"/>
    </w:pPr>
    <w:rPr>
      <w:rFonts w:ascii="Garamond" w:eastAsia="Calibri" w:hAnsi="Garamond" w:cs="Times New Roman"/>
      <w:spacing w:val="10"/>
    </w:rPr>
  </w:style>
  <w:style w:type="table" w:customStyle="1" w:styleId="10">
    <w:name w:val="רשת טבלה1"/>
    <w:basedOn w:val="a1"/>
    <w:next w:val="a9"/>
    <w:rsid w:val="007D190C"/>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mphasis"/>
    <w:basedOn w:val="a0"/>
    <w:uiPriority w:val="20"/>
    <w:qFormat/>
    <w:rsid w:val="00007F1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43</Pages>
  <Words>13798</Words>
  <Characters>68991</Characters>
  <Application>Microsoft Office Word</Application>
  <DocSecurity>0</DocSecurity>
  <Lines>574</Lines>
  <Paragraphs>165</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82624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אסתר טטרואשוילי</dc:creator>
  <cp:lastModifiedBy>אסתר טטרואשילי</cp:lastModifiedBy>
  <cp:revision>2</cp:revision>
  <dcterms:created xsi:type="dcterms:W3CDTF">2023-06-13T11:06:00Z</dcterms:created>
  <dcterms:modified xsi:type="dcterms:W3CDTF">2023-06-13T11:06:00Z</dcterms:modified>
</cp:coreProperties>
</file>